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DC" w:rsidRDefault="00F26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Informații</w:t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necesare pentru publicarea pe site-ul ministerului educaţiei</w:t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a</w:t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 xml:space="preserve">posturilor didactice şi de cercetare vacante scoase la concurs de USAMV Cluj-Napoca în </w:t>
      </w:r>
    </w:p>
    <w:p w:rsidR="002B0ADC" w:rsidRDefault="00F262EF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lang w:val="ro-RO"/>
        </w:rPr>
      </w:pPr>
      <w:r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Semestrul al II-lea, an universitar 2022-2023</w:t>
      </w:r>
    </w:p>
    <w:p w:rsidR="002B0ADC" w:rsidRDefault="002B0ADC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7649"/>
      </w:tblGrid>
      <w:tr w:rsidR="002B0ADC">
        <w:tc>
          <w:tcPr>
            <w:tcW w:w="1980" w:type="dxa"/>
            <w:vMerge w:val="restart"/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Universitatea de Științe </w:t>
            </w:r>
            <w:r>
              <w:rPr>
                <w:rFonts w:ascii="Times New Roman" w:hAnsi="Times New Roman"/>
                <w:lang w:val="ro-RO"/>
              </w:rPr>
              <w:t>Agricole și Medicină Veterinară Cluj-Napoca</w:t>
            </w:r>
          </w:p>
        </w:tc>
      </w:tr>
      <w:tr w:rsidR="002B0ADC">
        <w:tc>
          <w:tcPr>
            <w:tcW w:w="1980" w:type="dxa"/>
            <w:vMerge/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B0ADC">
        <w:tc>
          <w:tcPr>
            <w:tcW w:w="1980" w:type="dxa"/>
            <w:vMerge w:val="restart"/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2B0ADC">
        <w:tc>
          <w:tcPr>
            <w:tcW w:w="1980" w:type="dxa"/>
            <w:vMerge/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2B0ADC">
        <w:tc>
          <w:tcPr>
            <w:tcW w:w="1980" w:type="dxa"/>
            <w:vMerge w:val="restart"/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Departamentul de Competențe Transversale</w:t>
            </w:r>
          </w:p>
        </w:tc>
      </w:tr>
      <w:tr w:rsidR="002B0ADC">
        <w:tc>
          <w:tcPr>
            <w:tcW w:w="1980" w:type="dxa"/>
            <w:vMerge/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B0ADC">
        <w:tc>
          <w:tcPr>
            <w:tcW w:w="1980" w:type="dxa"/>
            <w:vMerge w:val="restart"/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I/B/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B0ADC">
        <w:tc>
          <w:tcPr>
            <w:tcW w:w="1980" w:type="dxa"/>
            <w:vMerge/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</w:tcPr>
          <w:p w:rsidR="002B0ADC" w:rsidRDefault="002B0A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B0ADC">
        <w:tc>
          <w:tcPr>
            <w:tcW w:w="1980" w:type="dxa"/>
            <w:vMerge w:val="restart"/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Lector universitar</w:t>
            </w:r>
          </w:p>
        </w:tc>
      </w:tr>
      <w:tr w:rsidR="002B0ADC">
        <w:tc>
          <w:tcPr>
            <w:tcW w:w="1980" w:type="dxa"/>
            <w:vMerge/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</w:tcPr>
          <w:p w:rsidR="002B0ADC" w:rsidRDefault="002B0A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B0ADC">
        <w:tc>
          <w:tcPr>
            <w:tcW w:w="1980" w:type="dxa"/>
            <w:vMerge w:val="restart"/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Disciplinele din </w:t>
            </w:r>
            <w:r>
              <w:rPr>
                <w:rFonts w:ascii="Times New Roman" w:hAnsi="Times New Roman"/>
              </w:rPr>
              <w:t xml:space="preserve">planul de </w:t>
            </w:r>
            <w:r>
              <w:rPr>
                <w:rFonts w:ascii="Times New Roman" w:hAnsi="Times New Roman"/>
                <w:lang w:val="ro-RO"/>
              </w:rPr>
              <w:t>învățământ</w:t>
            </w: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Limbi moderne aplicate - engleză 1, Limbi moderne aplicate - engleză 2, Limbi moderne aplicate - engleză 3</w:t>
            </w:r>
          </w:p>
        </w:tc>
      </w:tr>
      <w:tr w:rsidR="002B0ADC"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B0AD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Domeniul ştiinţific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Filologie</w:t>
            </w:r>
          </w:p>
        </w:tc>
      </w:tr>
      <w:tr w:rsidR="002B0AD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B0AD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Descriere post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DC" w:rsidRDefault="00F262E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Postul de Lector  universitar, vacant poziţia I/B/2 prevăzut în Statul</w:t>
            </w:r>
            <w:r>
              <w:rPr>
                <w:rFonts w:ascii="Times New Roman" w:hAnsi="Times New Roman"/>
                <w:lang w:val="ro-RO"/>
              </w:rPr>
              <w:t xml:space="preserve"> de Funcţiuni al Departamentului de Competențe Transversale aprobat pentru anul universitar 2022 – 2023, conţine o normă de 16 ore convenţionale, asigurate cu 9 ore de curs și 7 ore de seminar, cu următoarea distribuţie semestrială pe discipline:</w:t>
            </w:r>
          </w:p>
          <w:p w:rsidR="002B0ADC" w:rsidRDefault="00F262E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Discipl</w:t>
            </w:r>
            <w:r>
              <w:rPr>
                <w:rFonts w:ascii="Times New Roman" w:hAnsi="Times New Roman"/>
                <w:lang w:val="ro-RO"/>
              </w:rPr>
              <w:t>ina: Limbi moderne aplicate - engleză 1, efectuată după cum urmează: 1 oră fizică de curs = 2ore convenționale/săptămână în semestrul I cu studenții din anul I de la specializarea Horticultură; 1 oră fizică de seminar = 1 oră convențională/ săptămână/grupă</w:t>
            </w:r>
            <w:r>
              <w:rPr>
                <w:rFonts w:ascii="Times New Roman" w:hAnsi="Times New Roman"/>
                <w:lang w:val="ro-RO"/>
              </w:rPr>
              <w:t xml:space="preserve"> de studenți, în semestrul I, desfășurată cu 1 grupă de studenți din anul I de la specializarea Horticultură;</w:t>
            </w:r>
          </w:p>
          <w:p w:rsidR="002B0ADC" w:rsidRDefault="00F262E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Disciplina: Limbi moderne aplicate - engleză 2, efectuată după cum urmează: 1 oră fizică de curs = 2ore convenționale/săptămână în semestrul II </w:t>
            </w:r>
            <w:r>
              <w:rPr>
                <w:rFonts w:ascii="Times New Roman" w:hAnsi="Times New Roman"/>
                <w:lang w:val="ro-RO"/>
              </w:rPr>
              <w:t>cu studenții din anul I de la specializarea Horticultură; 1 oră fizică de seminar = 1 oră convențională/ săptămână/grupă de studenți, în semestrul II, desfășurată cu 1 grupă de studenți din anul I de la specializarea Horticultură;</w:t>
            </w:r>
          </w:p>
          <w:p w:rsidR="002B0ADC" w:rsidRDefault="00F262E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Disciplina: Limbi moder</w:t>
            </w:r>
            <w:r>
              <w:rPr>
                <w:rFonts w:ascii="Times New Roman" w:hAnsi="Times New Roman"/>
                <w:lang w:val="ro-RO"/>
              </w:rPr>
              <w:t>ne aplicate - engleză 1, efectuată după cum urmează: 1 oră fizică de curs = 2ore convenționale/săptămână în semestrul I cu studenții din anul I de la specializarea Peisagistică; 1 oră fizică de seminar = 1 oră convențională/ săptămână/grupă de studenți, în</w:t>
            </w:r>
            <w:r>
              <w:rPr>
                <w:rFonts w:ascii="Times New Roman" w:hAnsi="Times New Roman"/>
                <w:lang w:val="ro-RO"/>
              </w:rPr>
              <w:t xml:space="preserve"> semestrul I, desfășurată cu 1 grupă de studenți din anul I de la specializarea Peisagistică;</w:t>
            </w:r>
          </w:p>
          <w:p w:rsidR="002B0ADC" w:rsidRDefault="00F262E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Disciplina: Limbi moderne aplicate - engleză 2, efectuată după cum urmează: 1 oră fizică de curs = 2ore convenționale/săptămână în semestrul II cu studenții din</w:t>
            </w:r>
            <w:r>
              <w:rPr>
                <w:rFonts w:ascii="Times New Roman" w:hAnsi="Times New Roman"/>
                <w:lang w:val="ro-RO"/>
              </w:rPr>
              <w:t xml:space="preserve"> anul I de la specializarea Peisagistică; 1 oră fizică de seminar = 1 oră convențională/ săptămână/grupă de studenți, în semestrul II, desfășurată cu 1 grupă de studenți din anul I de la specializarea Peisagistică;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Disciplina: Limbi moderne aplicate - en</w:t>
            </w:r>
            <w:r>
              <w:rPr>
                <w:rFonts w:ascii="Times New Roman" w:hAnsi="Times New Roman"/>
                <w:lang w:val="ro-RO"/>
              </w:rPr>
              <w:t>gleză 1, efectuată după cum urmează: 1 oră fizică de curs = 2ore convenționale/săptămână în semestrul I cu studenții din anul I de la specializarea Măsurători terestre și cadastru;</w:t>
            </w:r>
          </w:p>
          <w:p w:rsidR="002B0ADC" w:rsidRDefault="00F262E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Disciplina: Limbi moderne aplicate - engleză 2, efectuată după cum urmeaz</w:t>
            </w:r>
            <w:r>
              <w:rPr>
                <w:rFonts w:ascii="Times New Roman" w:hAnsi="Times New Roman"/>
                <w:lang w:val="ro-RO"/>
              </w:rPr>
              <w:t xml:space="preserve">ă: 1 oră fizică de curs = 2ore convenționale/săptămână în semestrul II cu studenții din anul I de la specializarea Măsurători terestre și cadastru; 1 oră fizică de seminar = 1 oră </w:t>
            </w:r>
            <w:r>
              <w:rPr>
                <w:rFonts w:ascii="Times New Roman" w:hAnsi="Times New Roman"/>
                <w:lang w:val="ro-RO"/>
              </w:rPr>
              <w:lastRenderedPageBreak/>
              <w:t xml:space="preserve">convențională/ săptămână/grupă de studenți, în semestrul II, desfășurată cu </w:t>
            </w:r>
            <w:r>
              <w:rPr>
                <w:rFonts w:ascii="Times New Roman" w:hAnsi="Times New Roman"/>
                <w:lang w:val="ro-RO"/>
              </w:rPr>
              <w:t>3 grupe de studenți din anul I de la specializarea Măsurători terestre și cadastru;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Disciplina: Limbi moderne aplicate - engleză 3, efectuată după cum urmează: 1 oră fizică de curs = 2ore convenționale/săptămână în semestrul I cu studenții din anul II de</w:t>
            </w:r>
            <w:r>
              <w:rPr>
                <w:rFonts w:ascii="Times New Roman" w:hAnsi="Times New Roman"/>
                <w:lang w:val="ro-RO"/>
              </w:rPr>
              <w:t xml:space="preserve"> la specializarea Măsurători terestre și cadastru;</w:t>
            </w:r>
          </w:p>
          <w:p w:rsidR="002B0ADC" w:rsidRDefault="00F262E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Disciplina: Limbi moderne aplicate - engleză 1, efectuată după cum urmează: 1 oră fizică de curs (trunchi comun) = 2ore convenționale/săptămână în semestrul I cu studenții din anul I de la specializările</w:t>
            </w:r>
            <w:r>
              <w:rPr>
                <w:rFonts w:ascii="Times New Roman" w:hAnsi="Times New Roman"/>
                <w:lang w:val="ro-RO"/>
              </w:rPr>
              <w:t xml:space="preserve"> Inginerie și management în agricultură și dezvoltare rurală și respectiv Inginerie și management în industria turismului; 1 oră fizică de seminar = 1 oră convențională/ săptămână/grupă de studenți, în semestrul I, desfășurată cu studenții din anul I de la</w:t>
            </w:r>
            <w:r>
              <w:rPr>
                <w:rFonts w:ascii="Times New Roman" w:hAnsi="Times New Roman"/>
                <w:lang w:val="ro-RO"/>
              </w:rPr>
              <w:t xml:space="preserve"> următoarele specializări: 1 grupă Inginerie și management în agricultură și dezvoltare rurală; 1 grupă  Inginerie și management în industria turismului;</w:t>
            </w:r>
          </w:p>
          <w:p w:rsidR="002B0ADC" w:rsidRDefault="00F262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 xml:space="preserve">- Disciplina: Limbi moderne aplicate - engleză 2, efectuată după cum urmează: 1 oră fizică de curs </w:t>
            </w:r>
            <w:r>
              <w:rPr>
                <w:rFonts w:ascii="Times New Roman" w:hAnsi="Times New Roman"/>
                <w:lang w:val="ro-RO"/>
              </w:rPr>
              <w:t xml:space="preserve">(trunchi comun) = 2ore convenționale/săptămână în semestrul II cu studenții din anul I de la specializările Inginerie și management în agricultură și dezvoltare rurală și respectiv Inginerie și management în industria turismului; 1 oră fizică de seminar = </w:t>
            </w:r>
            <w:r>
              <w:rPr>
                <w:rFonts w:ascii="Times New Roman" w:hAnsi="Times New Roman"/>
                <w:lang w:val="ro-RO"/>
              </w:rPr>
              <w:t>1 oră convențională/ săptămână/grupă de studenți, în semestrul II, desfășurată cu studenții din anul I de la următoarele specializări: 1 grupă Inginerie și management în agricultură și dezvoltare rurală; 1 grupă  Inginerie și management în industria turism</w:t>
            </w:r>
            <w:r>
              <w:rPr>
                <w:rFonts w:ascii="Times New Roman" w:hAnsi="Times New Roman"/>
                <w:lang w:val="ro-RO"/>
              </w:rPr>
              <w:t>ului</w:t>
            </w:r>
            <w:r>
              <w:rPr>
                <w:rFonts w:ascii="Times New Roman" w:hAnsi="Times New Roman"/>
              </w:rPr>
              <w:t>.</w:t>
            </w:r>
          </w:p>
          <w:p w:rsidR="002B0ADC" w:rsidRDefault="00F262EF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color w:val="4F81BD" w:themeColor="accent1"/>
                <w:lang w:val="ro-RO"/>
              </w:rPr>
            </w:pPr>
            <w:r>
              <w:rPr>
                <w:rFonts w:ascii="Times New Roman" w:hAnsi="Times New Roman"/>
                <w:color w:val="4F81BD" w:themeColor="accent1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lang w:val="ro-RO"/>
              </w:rPr>
              <w:t>Cursurile și seminariile de ESP (English for Specific Purposes) - Limba engleză specializată, derulate la nivel academic și adresate viitorilor ingineri în domeniile enumerate anterior vizează achiziția unor cunoștințe de limbă engleză adecvate atât</w:t>
            </w:r>
            <w:r>
              <w:rPr>
                <w:rFonts w:ascii="Times New Roman" w:eastAsia="Times New Roman" w:hAnsi="Times New Roman"/>
                <w:lang w:val="ro-RO"/>
              </w:rPr>
              <w:t xml:space="preserve"> calificărilor selectate de aceștia, cât și integrării optime în comunitățile profesionale de care vor aparține după absolvire. Astfel, aceste cunoștinte specifice cuprind dezvoltarea unui vocabular tehnic și semi-tehnic corespunzător, precum și dezvoltare</w:t>
            </w:r>
            <w:r>
              <w:rPr>
                <w:rFonts w:ascii="Times New Roman" w:eastAsia="Times New Roman" w:hAnsi="Times New Roman"/>
                <w:lang w:val="ro-RO"/>
              </w:rPr>
              <w:t>a competențelor de comunicare în limba engleză transferabile în mod eficient în contexte autentice ocupaționale, de viață și continuare a studiilor.</w:t>
            </w:r>
          </w:p>
          <w:p w:rsidR="002B0ADC" w:rsidRDefault="00F262EF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Cursurile sunt organizate în secvențe interactive și urmăresc dobândirea contextualizată de noțiuni de limb</w:t>
            </w:r>
            <w:r>
              <w:rPr>
                <w:rFonts w:ascii="Times New Roman" w:eastAsia="Times New Roman" w:hAnsi="Times New Roman"/>
                <w:lang w:val="ro-RO"/>
              </w:rPr>
              <w:t>ă și gramatică, subsumate particularităților ESP și ESAP prin aplicarea metodelor activ-participative specifice limbii engleze.</w:t>
            </w:r>
          </w:p>
          <w:p w:rsidR="002B0ADC" w:rsidRDefault="00F262EF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Seminariile urmăresc cu precădere activități menite a introduce și consolida vocabularul tehnic și semi-tehnic corespunzător spe</w:t>
            </w:r>
            <w:r>
              <w:rPr>
                <w:rFonts w:ascii="Times New Roman" w:eastAsia="Times New Roman" w:hAnsi="Times New Roman"/>
                <w:lang w:val="ro-RO"/>
              </w:rPr>
              <w:t>cializărilor studenților, folosind diferite tipuri de strategii didactice și utilizând contexte autentice (profesionale și academice). De asemenea, acestea vizează și dezvoltarea abilităților de comunicare generală și profesională în limba engleză.</w:t>
            </w:r>
          </w:p>
          <w:p w:rsidR="002B0ADC" w:rsidRDefault="00F262EF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Astfel,</w:t>
            </w:r>
            <w:r>
              <w:rPr>
                <w:rFonts w:ascii="Times New Roman" w:eastAsia="Times New Roman" w:hAnsi="Times New Roman"/>
                <w:lang w:val="ro-RO"/>
              </w:rPr>
              <w:t xml:space="preserve"> cursurile și seminariile formează unități interactive de predare-învățare axate pe dezvoltarea abilităților specifice ESP și ESAP, dar și a altor abilități  transversale precum gândirea critică, comunicarea interpersonală, feedback-ul constructiv și manag</w:t>
            </w:r>
            <w:r>
              <w:rPr>
                <w:rFonts w:ascii="Times New Roman" w:eastAsia="Times New Roman" w:hAnsi="Times New Roman"/>
                <w:lang w:val="ro-RO"/>
              </w:rPr>
              <w:t>ementul lucrului în echipă.</w:t>
            </w:r>
          </w:p>
        </w:tc>
      </w:tr>
      <w:tr w:rsidR="002B0ADC"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:rsidR="002B0ADC" w:rsidRDefault="002B0AD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</w:p>
        </w:tc>
      </w:tr>
      <w:tr w:rsidR="002B0ADC">
        <w:tc>
          <w:tcPr>
            <w:tcW w:w="1980" w:type="dxa"/>
            <w:vMerge w:val="restart"/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Pregătirea activității didactice;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Verificări, lucrări și teste (evaluare scrisă și orală);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Elaborare materiale didactice și de evaluare;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Elaborarea fişelor disciplinelor;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Consultaţii </w:t>
            </w:r>
            <w:r>
              <w:rPr>
                <w:rFonts w:ascii="Times New Roman" w:hAnsi="Times New Roman"/>
                <w:lang w:val="ro-RO"/>
              </w:rPr>
              <w:t>pentru studenţi şi alţi beneficiari;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Activitate de cercetare științifică;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Participare la manifestări științifice;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Alte activități pentru pregătirea practică și teoretică a studenților.</w:t>
            </w:r>
          </w:p>
        </w:tc>
      </w:tr>
      <w:tr w:rsidR="002B0ADC">
        <w:tc>
          <w:tcPr>
            <w:tcW w:w="1980" w:type="dxa"/>
            <w:vMerge/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</w:tcPr>
          <w:p w:rsidR="002B0ADC" w:rsidRDefault="002B0ADC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2B0ADC">
        <w:trPr>
          <w:trHeight w:val="366"/>
        </w:trPr>
        <w:tc>
          <w:tcPr>
            <w:tcW w:w="1980" w:type="dxa"/>
            <w:vMerge w:val="restart"/>
            <w:vAlign w:val="center"/>
          </w:tcPr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RO</w:t>
            </w:r>
          </w:p>
        </w:tc>
        <w:tc>
          <w:tcPr>
            <w:tcW w:w="7649" w:type="dxa"/>
          </w:tcPr>
          <w:p w:rsidR="002B0ADC" w:rsidRDefault="00F262EF">
            <w:pPr>
              <w:spacing w:after="0" w:line="240" w:lineRule="auto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 xml:space="preserve">Tematica </w:t>
            </w:r>
            <w:r>
              <w:rPr>
                <w:rFonts w:ascii="Times New Roman" w:eastAsia="Times New Roman" w:hAnsi="Times New Roman"/>
                <w:lang w:val="ro-RO"/>
              </w:rPr>
              <w:t>examenului de concurs: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 Obiectivele disciplinei de Limba engleză pentru scopuri specifice (ESP) și scopuri academice specifice (ESAP) în științele inginerești. 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 Elaborarea curriculei în ESP și ESAP.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3. Metode clasice de predare-învățare aplicabile </w:t>
            </w:r>
            <w:r>
              <w:rPr>
                <w:rFonts w:ascii="Times New Roman" w:hAnsi="Times New Roman"/>
                <w:lang w:val="ro-RO"/>
              </w:rPr>
              <w:t>Limbii engleze pentru scopuri specifice (ESP) și scopuri academice specifice (ESAP).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  Metode active-participative aplicabile în predarea Limbii engleze pentru scopuri specifice (ESP) și scopuri academice specifice (ESAP).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5. Mijloace de învățământ utili</w:t>
            </w:r>
            <w:r>
              <w:rPr>
                <w:rFonts w:ascii="Times New Roman" w:hAnsi="Times New Roman"/>
                <w:lang w:val="ro-RO"/>
              </w:rPr>
              <w:t>zate în predarea aplicabile Limbii engleze pentru scopuri specifice (ESP) și scopuri academice specifice (ESAP).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6. </w:t>
            </w:r>
            <w:r>
              <w:rPr>
                <w:rFonts w:ascii="Times New Roman" w:hAnsi="Times New Roman"/>
                <w:bCs/>
                <w:lang w:val="ro-RO"/>
              </w:rPr>
              <w:t>Modelul de derivare a competenţelor în ESP și ESAP. Etapele procesului de învățare și categoriile de competențe.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7. Analiza registrului în E</w:t>
            </w:r>
            <w:r>
              <w:rPr>
                <w:rFonts w:ascii="Times New Roman" w:hAnsi="Times New Roman"/>
                <w:bCs/>
                <w:lang w:val="ro-RO"/>
              </w:rPr>
              <w:t>SP and ESAP.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8. Analiza retoricii și a discursului în ESP și ESAP.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9. Autenticitatea textului și autenticitatea scopului în ESP and ESAP.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10. Realizarea de proiecte de lecții în cadrul ESP și ESAP.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11. Evaluarea în cadrul ESP și ESAP.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12. Particularit</w:t>
            </w:r>
            <w:r>
              <w:rPr>
                <w:rFonts w:ascii="Times New Roman" w:hAnsi="Times New Roman"/>
                <w:lang w:val="ro-RO"/>
              </w:rPr>
              <w:t>ăți a</w:t>
            </w:r>
            <w:r>
              <w:rPr>
                <w:rFonts w:ascii="Times New Roman" w:hAnsi="Times New Roman"/>
                <w:lang w:val="ro-RO"/>
              </w:rPr>
              <w:t>le predării-învățării vocabularului tehnic și semi-tehnic aferent specializării Măsurători terestre și cadastru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13. </w:t>
            </w:r>
            <w:r>
              <w:rPr>
                <w:rFonts w:ascii="Times New Roman" w:hAnsi="Times New Roman"/>
              </w:rPr>
              <w:t>Particularit</w:t>
            </w:r>
            <w:r>
              <w:rPr>
                <w:rFonts w:ascii="Times New Roman" w:hAnsi="Times New Roman"/>
                <w:lang w:val="ro-RO"/>
              </w:rPr>
              <w:t>ăți ale predării-învățării vocabularului tehnic și semi-tehnic aferent specializării Peisagistică și Horticultură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14. </w:t>
            </w:r>
            <w:r>
              <w:rPr>
                <w:rFonts w:ascii="Times New Roman" w:hAnsi="Times New Roman"/>
              </w:rPr>
              <w:t>Particular</w:t>
            </w:r>
            <w:r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  <w:lang w:val="ro-RO"/>
              </w:rPr>
              <w:t xml:space="preserve">ăți ale predării-învățării vocabularului tehnic și semi-tehnic aferent specializării </w:t>
            </w:r>
            <w:r>
              <w:rPr>
                <w:rFonts w:ascii="Times New Roman" w:hAnsi="Times New Roman"/>
                <w:lang w:val="ro-RO"/>
              </w:rPr>
              <w:t>Inginerie și management în agricultură și dezvoltare rurală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15. </w:t>
            </w:r>
            <w:r>
              <w:rPr>
                <w:rFonts w:ascii="Times New Roman" w:hAnsi="Times New Roman"/>
              </w:rPr>
              <w:t>Particularit</w:t>
            </w:r>
            <w:r>
              <w:rPr>
                <w:rFonts w:ascii="Times New Roman" w:hAnsi="Times New Roman"/>
                <w:lang w:val="ro-RO"/>
              </w:rPr>
              <w:t xml:space="preserve">ăți ale predării-învățării vocabularului tehnic și semi-tehnic aferent specializării </w:t>
            </w:r>
            <w:r>
              <w:rPr>
                <w:rFonts w:ascii="Times New Roman" w:hAnsi="Times New Roman"/>
                <w:lang w:val="ro-RO"/>
              </w:rPr>
              <w:t>Ingineri</w:t>
            </w:r>
            <w:r>
              <w:rPr>
                <w:rFonts w:ascii="Times New Roman" w:hAnsi="Times New Roman"/>
                <w:lang w:val="ro-RO"/>
              </w:rPr>
              <w:t>e și management în industria turismului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16. Modalități de inserare eficientă a aplicațiilor online axate pe însușirea cunoștințelor de limbă engleză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17. Folosirea contextualizată a aplicațiilor online în procesul educațional specific ESP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18. Metode de exer</w:t>
            </w:r>
            <w:r>
              <w:rPr>
                <w:rFonts w:ascii="Times New Roman" w:hAnsi="Times New Roman"/>
                <w:lang w:val="ro-RO"/>
              </w:rPr>
              <w:t xml:space="preserve">sare a abilităților </w:t>
            </w:r>
            <w:r>
              <w:rPr>
                <w:rFonts w:ascii="Times New Roman" w:hAnsi="Times New Roman"/>
                <w:lang w:val="ro-RO"/>
              </w:rPr>
              <w:t>„</w:t>
            </w:r>
            <w:r>
              <w:rPr>
                <w:rFonts w:ascii="Times New Roman" w:hAnsi="Times New Roman"/>
                <w:lang w:val="ro-RO"/>
              </w:rPr>
              <w:t>soft</w:t>
            </w:r>
            <w:r>
              <w:rPr>
                <w:rFonts w:ascii="Times New Roman" w:hAnsi="Times New Roman"/>
                <w:lang w:val="ro-RO"/>
              </w:rPr>
              <w:t>”</w:t>
            </w:r>
            <w:r>
              <w:rPr>
                <w:rFonts w:ascii="Times New Roman" w:hAnsi="Times New Roman"/>
                <w:lang w:val="ro-RO"/>
              </w:rPr>
              <w:t xml:space="preserve"> prin îmbinarea ESP și a cunoștințelor de specialitate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19. Integrarea evaluării și autoevaluării în procesul de achiziție a elementelor specifice ESP 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20. Metode de realizare a analizei de nevoi (</w:t>
            </w:r>
            <w:r>
              <w:rPr>
                <w:rFonts w:ascii="Times New Roman" w:hAnsi="Times New Roman"/>
                <w:lang w:val="ro-RO"/>
              </w:rPr>
              <w:t>„need analysis”) în cadrul ESP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21.</w:t>
            </w:r>
            <w:r>
              <w:rPr>
                <w:rFonts w:ascii="Times New Roman" w:hAnsi="Times New Roman"/>
                <w:lang w:val="ro-RO"/>
              </w:rPr>
              <w:t xml:space="preserve"> Inserarea conceptelor de FLA („foreign language anxiety”) și FLE („foreign language engagement”) în secvențele de predare-învățare specifice ESP</w:t>
            </w:r>
          </w:p>
          <w:p w:rsidR="002B0ADC" w:rsidRDefault="00F262E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</w:t>
            </w:r>
          </w:p>
          <w:p w:rsidR="002B0ADC" w:rsidRDefault="00F26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u w:val="single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/>
                <w:u w:val="single"/>
                <w:lang w:val="ro-RO"/>
              </w:rPr>
              <w:t>Bibliografie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Anthony, L. (2018)- Introducing English for Specific Purposes, Routledge, London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Basturkmen, H.</w:t>
            </w: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 xml:space="preserve"> (2006)- Ideas and Options in English for Specific Purposes , Routledge, London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Basturkmen, H. (2010)- Developing Courses in English for Specific Purposes, Palgrave MacMillan, NY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Brown,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</w:rPr>
              <w:t>J.D.</w:t>
            </w:r>
            <w:r>
              <w:rPr>
                <w:rFonts w:ascii="Times New Roman" w:hAnsi="Times New Roman"/>
                <w:lang w:val="ro-RO"/>
              </w:rPr>
              <w:t xml:space="preserve"> (2016)</w:t>
            </w:r>
            <w:r>
              <w:rPr>
                <w:rFonts w:ascii="Times New Roman" w:hAnsi="Times New Roman"/>
              </w:rPr>
              <w:t xml:space="preserve"> Introducing Needs Analysis and English for Specific Purpos</w:t>
            </w:r>
            <w:r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  <w:lang w:val="ro-RO"/>
              </w:rPr>
              <w:t xml:space="preserve">, </w:t>
            </w:r>
            <w:r>
              <w:rPr>
                <w:rFonts w:ascii="Times New Roman" w:hAnsi="Times New Roman"/>
              </w:rPr>
              <w:t>Routledge, Taylor&amp;Francis Group,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</w:rPr>
              <w:t xml:space="preserve"> London and New York.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Day, J. Krzanowski M. (2011)- Teaching English for Specific Purposes: An Introduction, Cambridge University Press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hAnsi="Times New Roman"/>
              </w:rPr>
              <w:t>Dewaele, J.-M.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Allbakistani, A.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Ahmed, I. K.</w:t>
            </w:r>
            <w:r>
              <w:rPr>
                <w:rFonts w:ascii="Times New Roman" w:hAnsi="Times New Roman"/>
                <w:lang w:val="ro-RO"/>
              </w:rPr>
              <w:t xml:space="preserve"> (2022)</w:t>
            </w:r>
            <w:r>
              <w:rPr>
                <w:rFonts w:ascii="Times New Roman" w:hAnsi="Times New Roman"/>
              </w:rPr>
              <w:t xml:space="preserve"> Levels of foreign language en</w:t>
            </w:r>
            <w:r>
              <w:rPr>
                <w:rFonts w:ascii="Times New Roman" w:hAnsi="Times New Roman"/>
              </w:rPr>
              <w:t xml:space="preserve">joyment, anxiety and boredom in emergency remote teaching and in in-person classes. </w:t>
            </w:r>
            <w:r>
              <w:rPr>
                <w:rFonts w:ascii="Times New Roman" w:hAnsi="Times New Roman"/>
                <w:i/>
                <w:iCs/>
              </w:rPr>
              <w:t>The Language Learning Journal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1-14.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hAnsi="Times New Roman"/>
              </w:rPr>
              <w:t>Dewaele</w:t>
            </w:r>
            <w:r>
              <w:rPr>
                <w:rFonts w:ascii="Times New Roman" w:hAnsi="Times New Roman"/>
              </w:rPr>
              <w:t>, J.M.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Chen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Padilla Amado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M.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Lake J. </w:t>
            </w:r>
            <w:r>
              <w:rPr>
                <w:rFonts w:ascii="Times New Roman" w:hAnsi="Times New Roman"/>
                <w:lang w:val="ro-RO"/>
              </w:rPr>
              <w:t xml:space="preserve">(2010) </w:t>
            </w:r>
            <w:r>
              <w:rPr>
                <w:rFonts w:ascii="Times New Roman" w:hAnsi="Times New Roman"/>
              </w:rPr>
              <w:t>The Flowering of Positive Psychology in Foreign Language Teaching and Acquis</w:t>
            </w:r>
            <w:r>
              <w:rPr>
                <w:rFonts w:ascii="Times New Roman" w:hAnsi="Times New Roman"/>
              </w:rPr>
              <w:t>ition Research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Frontiers in Psychology</w:t>
            </w:r>
            <w:r>
              <w:rPr>
                <w:rFonts w:ascii="Times New Roman" w:hAnsi="Times New Roman"/>
                <w:i/>
                <w:iCs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10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ISSN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1664-1078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hAnsi="Times New Roman"/>
              </w:rPr>
              <w:t>Dewaele, J. M.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MacIntyre, P. D. </w:t>
            </w:r>
            <w:r>
              <w:rPr>
                <w:rFonts w:ascii="Times New Roman" w:hAnsi="Times New Roman"/>
                <w:lang w:val="ro-RO"/>
              </w:rPr>
              <w:t>(2014)</w:t>
            </w:r>
            <w:r>
              <w:rPr>
                <w:rFonts w:ascii="Times New Roman" w:hAnsi="Times New Roman"/>
              </w:rPr>
              <w:t xml:space="preserve"> The two faces of Janus? Anxiety and enjoyment in the foreign language classroom. </w:t>
            </w:r>
            <w:r>
              <w:rPr>
                <w:rFonts w:ascii="Times New Roman" w:hAnsi="Times New Roman"/>
                <w:i/>
                <w:iCs/>
              </w:rPr>
              <w:t>Stud. Sec. Lang. Learn. Teach</w:t>
            </w:r>
            <w:r>
              <w:rPr>
                <w:rFonts w:ascii="Times New Roman" w:hAnsi="Times New Roman"/>
                <w:i/>
                <w:iCs/>
                <w:lang w:val="ro-RO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4</w:t>
            </w:r>
            <w:r>
              <w:rPr>
                <w:rFonts w:ascii="Times New Roman" w:hAnsi="Times New Roman"/>
              </w:rPr>
              <w:t>, 237–274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 xml:space="preserve">Douglas, D. (2000)- Assessing Language For Specific Purposes, Cambridge University Press. 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u w:val="single"/>
                <w:lang w:val="ro-RO"/>
              </w:rPr>
            </w:pPr>
            <w:r>
              <w:rPr>
                <w:rFonts w:ascii="Times New Roman" w:hAnsi="Times New Roman"/>
                <w:iCs/>
                <w:shd w:val="clear" w:color="auto" w:fill="FFFFFF"/>
                <w:lang w:val="ro-RO"/>
              </w:rPr>
              <w:t>Dudley-Evans, T., St. John, M.J. (1998). Developments in English for Specific Purposes: A multi-disciplinary approach. Cambridge University Press.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u w:val="single"/>
                <w:lang w:val="ro-RO"/>
              </w:rPr>
            </w:pPr>
            <w:r>
              <w:rPr>
                <w:rFonts w:ascii="Times New Roman" w:hAnsi="Times New Roman"/>
              </w:rPr>
              <w:t>Finn, J.D.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Zimmer</w:t>
            </w:r>
            <w:r>
              <w:rPr>
                <w:rFonts w:ascii="Times New Roman" w:hAnsi="Times New Roman"/>
              </w:rPr>
              <w:t>, K.S.</w:t>
            </w:r>
            <w:r>
              <w:rPr>
                <w:rFonts w:ascii="Times New Roman" w:hAnsi="Times New Roman"/>
                <w:lang w:val="ro-RO"/>
              </w:rPr>
              <w:t xml:space="preserve"> (2012)</w:t>
            </w:r>
            <w:r>
              <w:rPr>
                <w:rFonts w:ascii="Times New Roman" w:hAnsi="Times New Roman"/>
              </w:rPr>
              <w:t xml:space="preserve"> Student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ngagement: What is it? Why does it matter? In </w:t>
            </w:r>
            <w:r>
              <w:rPr>
                <w:rFonts w:ascii="Times New Roman" w:hAnsi="Times New Roman"/>
                <w:i/>
                <w:iCs/>
              </w:rPr>
              <w:t xml:space="preserve">Handbook of </w:t>
            </w:r>
            <w:r>
              <w:rPr>
                <w:rFonts w:ascii="Times New Roman" w:hAnsi="Times New Roman"/>
                <w:i/>
                <w:iCs/>
              </w:rPr>
              <w:t>R</w:t>
            </w:r>
            <w:r>
              <w:rPr>
                <w:rFonts w:ascii="Times New Roman" w:hAnsi="Times New Roman"/>
                <w:i/>
                <w:iCs/>
              </w:rPr>
              <w:t xml:space="preserve">esearch on </w:t>
            </w:r>
            <w:r>
              <w:rPr>
                <w:rFonts w:ascii="Times New Roman" w:hAnsi="Times New Roman"/>
                <w:i/>
                <w:iCs/>
              </w:rPr>
              <w:t>S</w:t>
            </w:r>
            <w:r>
              <w:rPr>
                <w:rFonts w:ascii="Times New Roman" w:hAnsi="Times New Roman"/>
                <w:i/>
                <w:iCs/>
              </w:rPr>
              <w:t xml:space="preserve">tudent </w:t>
            </w:r>
            <w:r>
              <w:rPr>
                <w:rFonts w:ascii="Times New Roman" w:hAnsi="Times New Roman"/>
                <w:i/>
                <w:iCs/>
              </w:rPr>
              <w:t>E</w:t>
            </w:r>
            <w:r>
              <w:rPr>
                <w:rFonts w:ascii="Times New Roman" w:hAnsi="Times New Roman"/>
                <w:i/>
                <w:iCs/>
              </w:rPr>
              <w:t>ngagement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Christenson</w:t>
            </w:r>
            <w:r>
              <w:rPr>
                <w:rFonts w:ascii="Times New Roman" w:hAnsi="Times New Roman"/>
              </w:rPr>
              <w:t>, S.L.,</w:t>
            </w:r>
            <w:r>
              <w:rPr>
                <w:rFonts w:ascii="Times New Roman" w:hAnsi="Times New Roman"/>
              </w:rPr>
              <w:t xml:space="preserve"> Reschly</w:t>
            </w:r>
            <w:r>
              <w:rPr>
                <w:rFonts w:ascii="Times New Roman" w:hAnsi="Times New Roman"/>
              </w:rPr>
              <w:t xml:space="preserve">, A.L., </w:t>
            </w:r>
            <w:r>
              <w:rPr>
                <w:rFonts w:ascii="Times New Roman" w:hAnsi="Times New Roman"/>
              </w:rPr>
              <w:t>Wylie</w:t>
            </w:r>
            <w:r>
              <w:rPr>
                <w:rFonts w:ascii="Times New Roman" w:hAnsi="Times New Roman"/>
              </w:rPr>
              <w:t xml:space="preserve">, C., </w:t>
            </w:r>
            <w:r>
              <w:rPr>
                <w:rFonts w:ascii="Times New Roman" w:hAnsi="Times New Roman"/>
              </w:rPr>
              <w:t>Eds.</w:t>
            </w:r>
            <w:r>
              <w:rPr>
                <w:rFonts w:ascii="Times New Roman" w:hAnsi="Times New Roman"/>
              </w:rPr>
              <w:t xml:space="preserve">; Springer: </w:t>
            </w:r>
            <w:r>
              <w:rPr>
                <w:rFonts w:ascii="Times New Roman" w:hAnsi="Times New Roman"/>
              </w:rPr>
              <w:t>New York</w:t>
            </w:r>
            <w:r>
              <w:rPr>
                <w:rFonts w:ascii="Times New Roman" w:hAnsi="Times New Roman"/>
              </w:rPr>
              <w:t>, USA</w:t>
            </w:r>
            <w:r>
              <w:rPr>
                <w:rFonts w:ascii="Times New Roman" w:hAnsi="Times New Roman"/>
                <w:lang w:val="ro-RO"/>
              </w:rPr>
              <w:t>.</w:t>
            </w:r>
          </w:p>
          <w:p w:rsidR="002B0ADC" w:rsidRDefault="00F262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lastRenderedPageBreak/>
              <w:t xml:space="preserve">Hutchinson, T. &amp; A. Francisco, (1987). English for Specific </w:t>
            </w: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Purposes: A learning-centered approach. Cambridge: Cambridge University Press</w:t>
            </w:r>
          </w:p>
          <w:p w:rsidR="002B0ADC" w:rsidRDefault="00F262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Hutchinson, T., Waters A. (1987). English for Specific Purposes, Cambridge University Press</w:t>
            </w:r>
          </w:p>
          <w:p w:rsidR="002B0ADC" w:rsidRDefault="00F262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Kırkgöz, Y., Dikilitaş, K., (2018)-Key Issues in English for Specific Purposes in High</w:t>
            </w: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er Education, Springer, NY</w:t>
            </w:r>
          </w:p>
          <w:p w:rsidR="002B0ADC" w:rsidRDefault="00F262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hAnsi="Times New Roman"/>
              </w:rPr>
              <w:t>Niemiec, C.P.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Ryan, R.M. </w:t>
            </w:r>
            <w:r>
              <w:rPr>
                <w:rFonts w:ascii="Times New Roman" w:hAnsi="Times New Roman"/>
                <w:lang w:val="ro-RO"/>
              </w:rPr>
              <w:t xml:space="preserve">(2009) </w:t>
            </w:r>
            <w:r>
              <w:rPr>
                <w:rFonts w:ascii="Times New Roman" w:hAnsi="Times New Roman"/>
              </w:rPr>
              <w:t xml:space="preserve">Autonomy, competence, and relatedness in the classroom: Applying self-determination theory to educational practice. </w:t>
            </w:r>
            <w:r>
              <w:rPr>
                <w:rFonts w:ascii="Times New Roman" w:hAnsi="Times New Roman"/>
                <w:i/>
                <w:iCs/>
              </w:rPr>
              <w:t>Theory and Research in Education</w:t>
            </w:r>
            <w:r>
              <w:rPr>
                <w:rFonts w:ascii="Times New Roman" w:hAnsi="Times New Roman"/>
                <w:i/>
                <w:iCs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7(2)</w:t>
            </w:r>
            <w:r>
              <w:rPr>
                <w:rFonts w:ascii="Times New Roman" w:hAnsi="Times New Roman"/>
              </w:rPr>
              <w:t>, 133–144</w:t>
            </w:r>
          </w:p>
          <w:p w:rsidR="002B0ADC" w:rsidRDefault="00F262E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hAnsi="Times New Roman"/>
              </w:rPr>
              <w:t>Ocakli, S.</w:t>
            </w:r>
            <w:r>
              <w:rPr>
                <w:rFonts w:ascii="Times New Roman" w:hAnsi="Times New Roman"/>
              </w:rPr>
              <w:t>V.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(2019) </w:t>
            </w:r>
            <w:r>
              <w:rPr>
                <w:rFonts w:ascii="Times New Roman" w:hAnsi="Times New Roman"/>
              </w:rPr>
              <w:t>Student Enga</w:t>
            </w:r>
            <w:r>
              <w:rPr>
                <w:rFonts w:ascii="Times New Roman" w:hAnsi="Times New Roman"/>
              </w:rPr>
              <w:t xml:space="preserve">gement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n Foreign Language Education: a Multimethod Investigation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f Personal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nd Social Facilitators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n a Higher Education Context.</w:t>
            </w:r>
            <w:r>
              <w:rPr>
                <w:rFonts w:ascii="Times New Roman" w:hAnsi="Times New Roman"/>
              </w:rPr>
              <w:t xml:space="preserve"> The Graduate School of Social Sciences of Middle East Technical University, Ankara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u w:val="single"/>
                <w:lang w:val="ro-RO"/>
              </w:rPr>
            </w:pPr>
            <w:r>
              <w:rPr>
                <w:rFonts w:ascii="Times New Roman" w:hAnsi="Times New Roman"/>
                <w:iCs/>
                <w:shd w:val="clear" w:color="auto" w:fill="FFFFFF"/>
                <w:lang w:val="ro-RO"/>
              </w:rPr>
              <w:t xml:space="preserve">Paltrige, B., Starfield Sue (2014)- The Handbook of English for Specific Purposes, John Wiley &amp; Sons P. 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u w:val="single"/>
                <w:lang w:val="ro-RO"/>
              </w:rPr>
            </w:pPr>
            <w:r>
              <w:rPr>
                <w:rFonts w:ascii="Times New Roman" w:hAnsi="Times New Roman"/>
              </w:rPr>
              <w:t>Skinner, E.A.</w:t>
            </w:r>
            <w:r>
              <w:rPr>
                <w:rFonts w:ascii="Times New Roman" w:hAnsi="Times New Roman"/>
                <w:lang w:val="ro-RO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Pitzer, J.R.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(2012) </w:t>
            </w:r>
            <w:r>
              <w:rPr>
                <w:rFonts w:ascii="Times New Roman" w:hAnsi="Times New Roman"/>
              </w:rPr>
              <w:t xml:space="preserve">Developmental dynamics of student engagement, coping, and everyday resilience. In </w:t>
            </w:r>
            <w:r>
              <w:rPr>
                <w:rFonts w:ascii="Times New Roman" w:hAnsi="Times New Roman"/>
                <w:i/>
                <w:iCs/>
              </w:rPr>
              <w:t>Handbook of research on student en</w:t>
            </w:r>
            <w:r>
              <w:rPr>
                <w:rFonts w:ascii="Times New Roman" w:hAnsi="Times New Roman"/>
                <w:i/>
                <w:iCs/>
              </w:rPr>
              <w:t>gagement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Christenson, </w:t>
            </w:r>
            <w:r>
              <w:rPr>
                <w:rFonts w:ascii="Times New Roman" w:hAnsi="Times New Roman"/>
              </w:rPr>
              <w:t xml:space="preserve">S.L., </w:t>
            </w:r>
            <w:r>
              <w:rPr>
                <w:rFonts w:ascii="Times New Roman" w:hAnsi="Times New Roman"/>
              </w:rPr>
              <w:t>Reschly</w:t>
            </w:r>
            <w:r>
              <w:rPr>
                <w:rFonts w:ascii="Times New Roman" w:hAnsi="Times New Roman"/>
              </w:rPr>
              <w:t>, A.L.,</w:t>
            </w:r>
            <w:r>
              <w:rPr>
                <w:rFonts w:ascii="Times New Roman" w:hAnsi="Times New Roman"/>
              </w:rPr>
              <w:t xml:space="preserve"> Wylie</w:t>
            </w:r>
            <w:r>
              <w:rPr>
                <w:rFonts w:ascii="Times New Roman" w:hAnsi="Times New Roman"/>
              </w:rPr>
              <w:t xml:space="preserve">, C., </w:t>
            </w:r>
            <w:r>
              <w:rPr>
                <w:rFonts w:ascii="Times New Roman" w:hAnsi="Times New Roman"/>
              </w:rPr>
              <w:t>Eds.</w:t>
            </w:r>
            <w:r>
              <w:rPr>
                <w:rFonts w:ascii="Times New Roman" w:hAnsi="Times New Roman"/>
              </w:rPr>
              <w:t>; Springer: New York, USA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Terauchi, H., N</w:t>
            </w: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oguchi, J., Tajino , A. (Eds) (2019)- Towards a New Paradigm for English Language Teaching-English for Specific Purposes in Asia and Beyond, Routledge, Lond</w:t>
            </w: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on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u w:val="single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Wette, R. (2018)-  English for Specific Purposes (ESP) and English for Academic Purposes (EAP</w:t>
            </w:r>
            <w:r>
              <w:rPr>
                <w:rFonts w:ascii="Times New Roman" w:eastAsia="Times New Roman" w:hAnsi="Times New Roman"/>
                <w:bCs/>
                <w:iCs/>
                <w:u w:val="single"/>
                <w:lang w:val="ro-RO"/>
              </w:rPr>
              <w:t>)</w:t>
            </w: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- in Approaches and Methods in English for Speakers of Other Languages- Core Issues and Concepts in Approaches and Methods in English for Speakers of Other Lan</w:t>
            </w: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guages</w:t>
            </w:r>
          </w:p>
          <w:p w:rsidR="002B0ADC" w:rsidRDefault="00F262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u w:val="single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iCs/>
                <w:lang w:val="ro-RO"/>
              </w:rPr>
              <w:t>Woodrow, L. (2018)- Introducing Course Design in English for Specific Purposes, Routledge, London</w:t>
            </w:r>
          </w:p>
        </w:tc>
      </w:tr>
      <w:tr w:rsidR="002B0ADC">
        <w:tc>
          <w:tcPr>
            <w:tcW w:w="1980" w:type="dxa"/>
            <w:vMerge/>
            <w:vAlign w:val="center"/>
          </w:tcPr>
          <w:p w:rsidR="002B0ADC" w:rsidRDefault="002B0AD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2B0ADC" w:rsidRDefault="00F262EF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EN</w:t>
            </w:r>
          </w:p>
        </w:tc>
        <w:tc>
          <w:tcPr>
            <w:tcW w:w="7649" w:type="dxa"/>
          </w:tcPr>
          <w:p w:rsidR="002B0ADC" w:rsidRDefault="002B0ADC">
            <w:pPr>
              <w:pStyle w:val="ListParagraph"/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iCs/>
                <w:color w:val="222222"/>
                <w:shd w:val="clear" w:color="auto" w:fill="FFFFFF"/>
                <w:lang w:val="ro-RO"/>
              </w:rPr>
            </w:pPr>
          </w:p>
        </w:tc>
      </w:tr>
    </w:tbl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F262EF">
      <w:pPr>
        <w:spacing w:after="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lang w:val="ro-RO"/>
        </w:rPr>
        <w:t>Notă:</w:t>
      </w:r>
      <w:r>
        <w:rPr>
          <w:rFonts w:ascii="Times New Roman" w:hAnsi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/>
          <w:lang w:val="ro-RO"/>
        </w:rPr>
        <w:t xml:space="preserve"> (RU 37), cap. II, art. 7 (2).</w:t>
      </w: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F262EF">
      <w:pPr>
        <w:spacing w:after="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Informaţiile privind </w:t>
      </w:r>
      <w:r>
        <w:rPr>
          <w:rFonts w:ascii="Times New Roman" w:hAnsi="Times New Roman"/>
          <w:b/>
          <w:lang w:val="ro-RO"/>
        </w:rPr>
        <w:t>data, ora, locul susţinerii prelegerii</w:t>
      </w:r>
      <w:r>
        <w:rPr>
          <w:rFonts w:ascii="Times New Roman" w:hAnsi="Times New Roman"/>
          <w:lang w:val="ro-RO"/>
        </w:rPr>
        <w:t xml:space="preserve">, respectiv </w:t>
      </w:r>
      <w:r>
        <w:rPr>
          <w:rFonts w:ascii="Times New Roman" w:hAnsi="Times New Roman"/>
          <w:b/>
          <w:lang w:val="ro-RO"/>
        </w:rPr>
        <w:t>componenţa comisiilor de concurs</w:t>
      </w:r>
      <w:r>
        <w:rPr>
          <w:rFonts w:ascii="Times New Roman" w:hAnsi="Times New Roman"/>
          <w:lang w:val="ro-RO"/>
        </w:rPr>
        <w:t xml:space="preserve"> şi a </w:t>
      </w:r>
      <w:r>
        <w:rPr>
          <w:rFonts w:ascii="Times New Roman" w:hAnsi="Times New Roman"/>
          <w:b/>
          <w:lang w:val="ro-RO"/>
        </w:rPr>
        <w:t>comisiilor de contestaţii</w:t>
      </w:r>
      <w:r>
        <w:rPr>
          <w:rFonts w:ascii="Times New Roman" w:hAnsi="Times New Roman"/>
          <w:lang w:val="ro-RO"/>
        </w:rPr>
        <w:t xml:space="preserve"> vor fi comunicate prorectoratului didactic după publicarea în Monitorul Oficial a postur</w:t>
      </w:r>
      <w:r>
        <w:rPr>
          <w:rFonts w:ascii="Times New Roman" w:hAnsi="Times New Roman"/>
          <w:lang w:val="ro-RO"/>
        </w:rPr>
        <w:t xml:space="preserve">ilor didactice şi de cercetare vacante. </w:t>
      </w:r>
    </w:p>
    <w:p w:rsidR="002B0ADC" w:rsidRDefault="002B0ADC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F262EF">
      <w:pPr>
        <w:spacing w:after="0" w:line="240" w:lineRule="auto"/>
        <w:ind w:firstLine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Data completării formularului: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>Director de Departament,</w:t>
      </w:r>
    </w:p>
    <w:p w:rsidR="002B0ADC" w:rsidRDefault="00F262EF">
      <w:pPr>
        <w:spacing w:after="0" w:line="240" w:lineRule="auto"/>
        <w:ind w:firstLine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lang w:val="ro-RO"/>
        </w:rPr>
        <w:t>.03.2023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 xml:space="preserve">             Conf.dr. Ioana ROMAN</w:t>
      </w:r>
    </w:p>
    <w:p w:rsidR="002B0ADC" w:rsidRDefault="002B0ADC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2B0ADC">
      <w:pPr>
        <w:spacing w:after="0" w:line="240" w:lineRule="auto"/>
        <w:rPr>
          <w:rFonts w:ascii="Times New Roman" w:hAnsi="Times New Roman"/>
          <w:lang w:val="ro-RO"/>
        </w:rPr>
      </w:pPr>
    </w:p>
    <w:p w:rsidR="002B0ADC" w:rsidRDefault="00F262EF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</w:p>
    <w:p w:rsidR="002B0ADC" w:rsidRDefault="002B0ADC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sectPr w:rsidR="002B0ADC">
      <w:pgSz w:w="11907" w:h="16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EF" w:rsidRDefault="00F262EF">
      <w:pPr>
        <w:spacing w:line="240" w:lineRule="auto"/>
      </w:pPr>
      <w:r>
        <w:separator/>
      </w:r>
    </w:p>
  </w:endnote>
  <w:endnote w:type="continuationSeparator" w:id="0">
    <w:p w:rsidR="00F262EF" w:rsidRDefault="00F26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EF" w:rsidRDefault="00F262EF">
      <w:pPr>
        <w:spacing w:after="0"/>
      </w:pPr>
      <w:r>
        <w:separator/>
      </w:r>
    </w:p>
  </w:footnote>
  <w:footnote w:type="continuationSeparator" w:id="0">
    <w:p w:rsidR="00F262EF" w:rsidRDefault="00F26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035C"/>
    <w:multiLevelType w:val="multilevel"/>
    <w:tmpl w:val="1E130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A3A1D"/>
    <w:multiLevelType w:val="multilevel"/>
    <w:tmpl w:val="305A3A1D"/>
    <w:lvl w:ilvl="0">
      <w:start w:val="1"/>
      <w:numFmt w:val="decimal"/>
      <w:pStyle w:val="IATED-References"/>
      <w:lvlText w:val="[%1]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2941"/>
    <w:rsid w:val="0000565E"/>
    <w:rsid w:val="0001031E"/>
    <w:rsid w:val="00031BDC"/>
    <w:rsid w:val="00035C68"/>
    <w:rsid w:val="0004714D"/>
    <w:rsid w:val="0008024C"/>
    <w:rsid w:val="0008730E"/>
    <w:rsid w:val="000C260D"/>
    <w:rsid w:val="000D4D07"/>
    <w:rsid w:val="00122F6B"/>
    <w:rsid w:val="001652E8"/>
    <w:rsid w:val="0019029A"/>
    <w:rsid w:val="0019206E"/>
    <w:rsid w:val="001D5BAA"/>
    <w:rsid w:val="00201B16"/>
    <w:rsid w:val="002154B8"/>
    <w:rsid w:val="00221890"/>
    <w:rsid w:val="00267079"/>
    <w:rsid w:val="00274BA4"/>
    <w:rsid w:val="002A734D"/>
    <w:rsid w:val="002B0ADC"/>
    <w:rsid w:val="002B2A3D"/>
    <w:rsid w:val="002E4B96"/>
    <w:rsid w:val="002F2035"/>
    <w:rsid w:val="00300A5B"/>
    <w:rsid w:val="00303005"/>
    <w:rsid w:val="003032A6"/>
    <w:rsid w:val="00311ADE"/>
    <w:rsid w:val="00314A00"/>
    <w:rsid w:val="0035240D"/>
    <w:rsid w:val="00352CEF"/>
    <w:rsid w:val="0035405E"/>
    <w:rsid w:val="003624F4"/>
    <w:rsid w:val="003838C1"/>
    <w:rsid w:val="003A6597"/>
    <w:rsid w:val="003D0525"/>
    <w:rsid w:val="004408A7"/>
    <w:rsid w:val="0046154C"/>
    <w:rsid w:val="004778F1"/>
    <w:rsid w:val="00480A07"/>
    <w:rsid w:val="004B07C4"/>
    <w:rsid w:val="004C0E92"/>
    <w:rsid w:val="004F1BE8"/>
    <w:rsid w:val="004F1F99"/>
    <w:rsid w:val="004F2F4E"/>
    <w:rsid w:val="0050567D"/>
    <w:rsid w:val="00551745"/>
    <w:rsid w:val="00556840"/>
    <w:rsid w:val="00582491"/>
    <w:rsid w:val="00591BE8"/>
    <w:rsid w:val="005A3983"/>
    <w:rsid w:val="005B4CE4"/>
    <w:rsid w:val="005B5D57"/>
    <w:rsid w:val="005E2CE7"/>
    <w:rsid w:val="0062187D"/>
    <w:rsid w:val="00632300"/>
    <w:rsid w:val="00633A74"/>
    <w:rsid w:val="00667C63"/>
    <w:rsid w:val="0067706A"/>
    <w:rsid w:val="00695BEA"/>
    <w:rsid w:val="00696E34"/>
    <w:rsid w:val="006B57AB"/>
    <w:rsid w:val="006B63A3"/>
    <w:rsid w:val="006D7317"/>
    <w:rsid w:val="006E7DB5"/>
    <w:rsid w:val="0072130B"/>
    <w:rsid w:val="00730A6D"/>
    <w:rsid w:val="007455CD"/>
    <w:rsid w:val="00754628"/>
    <w:rsid w:val="00761B88"/>
    <w:rsid w:val="00763F66"/>
    <w:rsid w:val="00781597"/>
    <w:rsid w:val="007B2349"/>
    <w:rsid w:val="007F1F43"/>
    <w:rsid w:val="008056AD"/>
    <w:rsid w:val="00834214"/>
    <w:rsid w:val="0085034A"/>
    <w:rsid w:val="0085086B"/>
    <w:rsid w:val="008633CC"/>
    <w:rsid w:val="00874116"/>
    <w:rsid w:val="00880046"/>
    <w:rsid w:val="008A702B"/>
    <w:rsid w:val="008B2BC7"/>
    <w:rsid w:val="008C6D68"/>
    <w:rsid w:val="009035F0"/>
    <w:rsid w:val="00912471"/>
    <w:rsid w:val="00920068"/>
    <w:rsid w:val="00921260"/>
    <w:rsid w:val="009261FA"/>
    <w:rsid w:val="0097795A"/>
    <w:rsid w:val="009878F6"/>
    <w:rsid w:val="0099656E"/>
    <w:rsid w:val="009A170B"/>
    <w:rsid w:val="009C0A05"/>
    <w:rsid w:val="009C737C"/>
    <w:rsid w:val="009E3F69"/>
    <w:rsid w:val="009E56F4"/>
    <w:rsid w:val="00A16C33"/>
    <w:rsid w:val="00A2772C"/>
    <w:rsid w:val="00A34598"/>
    <w:rsid w:val="00A90A90"/>
    <w:rsid w:val="00AB0E4A"/>
    <w:rsid w:val="00AB40D0"/>
    <w:rsid w:val="00AE74A2"/>
    <w:rsid w:val="00AF1C56"/>
    <w:rsid w:val="00B003A0"/>
    <w:rsid w:val="00B13944"/>
    <w:rsid w:val="00B14B86"/>
    <w:rsid w:val="00B21A33"/>
    <w:rsid w:val="00B35659"/>
    <w:rsid w:val="00B52F57"/>
    <w:rsid w:val="00B72546"/>
    <w:rsid w:val="00BB7352"/>
    <w:rsid w:val="00BC26A3"/>
    <w:rsid w:val="00BD4620"/>
    <w:rsid w:val="00BD4D22"/>
    <w:rsid w:val="00BE0F4E"/>
    <w:rsid w:val="00BF24AE"/>
    <w:rsid w:val="00BF7FA5"/>
    <w:rsid w:val="00C0260D"/>
    <w:rsid w:val="00C06103"/>
    <w:rsid w:val="00C3030F"/>
    <w:rsid w:val="00C32F61"/>
    <w:rsid w:val="00C46FB0"/>
    <w:rsid w:val="00C51FFA"/>
    <w:rsid w:val="00C60F60"/>
    <w:rsid w:val="00C65E7D"/>
    <w:rsid w:val="00C81CC0"/>
    <w:rsid w:val="00C97671"/>
    <w:rsid w:val="00CF416F"/>
    <w:rsid w:val="00D129F7"/>
    <w:rsid w:val="00D84087"/>
    <w:rsid w:val="00D87059"/>
    <w:rsid w:val="00DA0651"/>
    <w:rsid w:val="00DB2C53"/>
    <w:rsid w:val="00DF1D85"/>
    <w:rsid w:val="00E10E1C"/>
    <w:rsid w:val="00E1565E"/>
    <w:rsid w:val="00E47FF7"/>
    <w:rsid w:val="00E54C3B"/>
    <w:rsid w:val="00E64957"/>
    <w:rsid w:val="00E8015B"/>
    <w:rsid w:val="00EB24F4"/>
    <w:rsid w:val="00F108AC"/>
    <w:rsid w:val="00F11578"/>
    <w:rsid w:val="00F20607"/>
    <w:rsid w:val="00F262EF"/>
    <w:rsid w:val="00F32047"/>
    <w:rsid w:val="00F66B55"/>
    <w:rsid w:val="00F904FD"/>
    <w:rsid w:val="00F9358C"/>
    <w:rsid w:val="00FA2F81"/>
    <w:rsid w:val="00FC34DD"/>
    <w:rsid w:val="00FC60B3"/>
    <w:rsid w:val="00FF5D0A"/>
    <w:rsid w:val="03AB3DE4"/>
    <w:rsid w:val="1486143A"/>
    <w:rsid w:val="14BB4656"/>
    <w:rsid w:val="14FA69C1"/>
    <w:rsid w:val="17A23D32"/>
    <w:rsid w:val="1BDF24A9"/>
    <w:rsid w:val="20E77795"/>
    <w:rsid w:val="25180A16"/>
    <w:rsid w:val="30017405"/>
    <w:rsid w:val="36322247"/>
    <w:rsid w:val="37AC35D0"/>
    <w:rsid w:val="37E51990"/>
    <w:rsid w:val="3980525C"/>
    <w:rsid w:val="4A303F6D"/>
    <w:rsid w:val="4A941FC1"/>
    <w:rsid w:val="506773BC"/>
    <w:rsid w:val="510C0B33"/>
    <w:rsid w:val="545D26F2"/>
    <w:rsid w:val="55D60E8C"/>
    <w:rsid w:val="68AF658C"/>
    <w:rsid w:val="70CB1E8A"/>
    <w:rsid w:val="74304B25"/>
    <w:rsid w:val="79B1768D"/>
    <w:rsid w:val="79E62E7A"/>
    <w:rsid w:val="7CFF608A"/>
    <w:rsid w:val="7EE15DF8"/>
    <w:rsid w:val="7F3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20FF1-FCE1-49FD-B1D4-8B8D1B3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nhideWhenUsed/>
    <w:pPr>
      <w:spacing w:after="0" w:line="240" w:lineRule="auto"/>
      <w:ind w:firstLine="254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before="480"/>
      <w:jc w:val="center"/>
    </w:pPr>
    <w:rPr>
      <w:b/>
      <w:bCs/>
      <w:sz w:val="24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icon">
    <w:name w:val="icon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y2iqfc">
    <w:name w:val="y2iqfc"/>
  </w:style>
  <w:style w:type="character" w:customStyle="1" w:styleId="xc">
    <w:name w:val="xc"/>
  </w:style>
  <w:style w:type="character" w:customStyle="1" w:styleId="citation">
    <w:name w:val="citation"/>
  </w:style>
  <w:style w:type="character" w:customStyle="1" w:styleId="printonly">
    <w:name w:val="printonly"/>
  </w:style>
  <w:style w:type="character" w:customStyle="1" w:styleId="citationauthor">
    <w:name w:val="citation_author"/>
  </w:style>
  <w:style w:type="character" w:customStyle="1" w:styleId="f3">
    <w:name w:val="f3"/>
    <w:rPr>
      <w:color w:val="666666"/>
    </w:rPr>
  </w:style>
  <w:style w:type="paragraph" w:customStyle="1" w:styleId="IATED-References">
    <w:name w:val="IATED-References"/>
    <w:basedOn w:val="Title"/>
    <w:qFormat/>
    <w:pPr>
      <w:numPr>
        <w:numId w:val="1"/>
      </w:numPr>
      <w:tabs>
        <w:tab w:val="clear" w:pos="360"/>
        <w:tab w:val="left" w:pos="567"/>
      </w:tabs>
      <w:spacing w:before="120"/>
      <w:ind w:left="567" w:hanging="567"/>
      <w:jc w:val="left"/>
    </w:pPr>
    <w:rPr>
      <w:rFonts w:cs="Arial"/>
      <w:b w:val="0"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2021-03-05T09:43:00Z</cp:lastPrinted>
  <dcterms:created xsi:type="dcterms:W3CDTF">2023-03-28T13:09:00Z</dcterms:created>
  <dcterms:modified xsi:type="dcterms:W3CDTF">2023-03-28T13:09:00Z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1C5BB09F473B40208A5546A99BB5E43F</vt:lpwstr>
  </property>
</Properties>
</file>