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E385C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2D352286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A7A473E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00C0A2F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14:paraId="18EFA629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CC63AC0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1BC8B902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C621BF" w14:paraId="03C1218A" w14:textId="77777777" w:rsidTr="002154B8">
        <w:tc>
          <w:tcPr>
            <w:tcW w:w="2123" w:type="dxa"/>
            <w:vMerge w:val="restart"/>
            <w:vAlign w:val="center"/>
          </w:tcPr>
          <w:p w14:paraId="69686A9B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65CEAF9F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5345581" w14:textId="6588F419" w:rsidR="00C621BF" w:rsidRPr="00C06103" w:rsidRDefault="00C621BF" w:rsidP="00C621B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C621BF" w14:paraId="384BC679" w14:textId="77777777" w:rsidTr="002154B8">
        <w:tc>
          <w:tcPr>
            <w:tcW w:w="2123" w:type="dxa"/>
            <w:vMerge/>
            <w:vAlign w:val="center"/>
          </w:tcPr>
          <w:p w14:paraId="23305F49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1C4372F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F85BA60" w14:textId="387F432F" w:rsidR="00C621BF" w:rsidRPr="00C06103" w:rsidRDefault="00C621BF" w:rsidP="00C621BF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621BF" w14:paraId="17A728AA" w14:textId="77777777" w:rsidTr="002154B8">
        <w:tc>
          <w:tcPr>
            <w:tcW w:w="2123" w:type="dxa"/>
            <w:vMerge w:val="restart"/>
            <w:vAlign w:val="center"/>
          </w:tcPr>
          <w:p w14:paraId="4E09E261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6C3E7595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331C6DF" w14:textId="54F735EE" w:rsidR="00C621BF" w:rsidRPr="00C06103" w:rsidRDefault="00C621BF" w:rsidP="00C621BF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Facultatea de Horticultură și Afaceri în Dezvoltare Rurală</w:t>
            </w:r>
          </w:p>
        </w:tc>
      </w:tr>
      <w:tr w:rsidR="00C621BF" w14:paraId="68183591" w14:textId="77777777" w:rsidTr="002154B8">
        <w:tc>
          <w:tcPr>
            <w:tcW w:w="2123" w:type="dxa"/>
            <w:vMerge/>
            <w:vAlign w:val="center"/>
          </w:tcPr>
          <w:p w14:paraId="02CFB876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5E42AE8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D4EEE49" w14:textId="7A5796B8" w:rsidR="00C621BF" w:rsidRPr="00C06103" w:rsidRDefault="00C621BF" w:rsidP="00C621BF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C621BF" w14:paraId="7D0CB8AB" w14:textId="77777777" w:rsidTr="002154B8">
        <w:tc>
          <w:tcPr>
            <w:tcW w:w="2123" w:type="dxa"/>
            <w:vMerge w:val="restart"/>
            <w:vAlign w:val="center"/>
          </w:tcPr>
          <w:p w14:paraId="03CBEDB8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416B70DA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1D54033" w14:textId="1E356CBC" w:rsidR="00C621BF" w:rsidRPr="00AB0E4A" w:rsidRDefault="00C621BF" w:rsidP="00C621B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Științe Economice</w:t>
            </w:r>
          </w:p>
        </w:tc>
      </w:tr>
      <w:tr w:rsidR="00C621BF" w14:paraId="07E34F0D" w14:textId="77777777" w:rsidTr="002154B8">
        <w:tc>
          <w:tcPr>
            <w:tcW w:w="2123" w:type="dxa"/>
            <w:vMerge/>
            <w:vAlign w:val="center"/>
          </w:tcPr>
          <w:p w14:paraId="6C1577A6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E9BFB24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0FE53D8" w14:textId="2C8BAC59" w:rsidR="00C621BF" w:rsidRDefault="00C621BF" w:rsidP="00C621B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Economic Sciences</w:t>
            </w:r>
          </w:p>
        </w:tc>
      </w:tr>
      <w:tr w:rsidR="00C621BF" w14:paraId="6757581F" w14:textId="77777777" w:rsidTr="002154B8">
        <w:tc>
          <w:tcPr>
            <w:tcW w:w="2123" w:type="dxa"/>
            <w:vMerge w:val="restart"/>
            <w:vAlign w:val="center"/>
          </w:tcPr>
          <w:p w14:paraId="365C6770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11F8F2A1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680D425" w14:textId="1AC812FC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C621BF" w14:paraId="492C92FB" w14:textId="77777777" w:rsidTr="002154B8">
        <w:tc>
          <w:tcPr>
            <w:tcW w:w="2123" w:type="dxa"/>
            <w:vMerge/>
            <w:vAlign w:val="center"/>
          </w:tcPr>
          <w:p w14:paraId="1CDC7E72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1EBA571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836CB92" w14:textId="286ED236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C621BF" w14:paraId="33C72B01" w14:textId="77777777" w:rsidTr="002154B8">
        <w:tc>
          <w:tcPr>
            <w:tcW w:w="2123" w:type="dxa"/>
            <w:vMerge w:val="restart"/>
            <w:vAlign w:val="center"/>
          </w:tcPr>
          <w:p w14:paraId="4E0F7316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41BEECE8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49358EC" w14:textId="0CF014BF" w:rsidR="00C621BF" w:rsidRDefault="00FC3B52" w:rsidP="00C621BF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Conferențiar</w:t>
            </w:r>
          </w:p>
        </w:tc>
      </w:tr>
      <w:tr w:rsidR="00C621BF" w14:paraId="79A2F933" w14:textId="77777777" w:rsidTr="00FB6AF3">
        <w:trPr>
          <w:trHeight w:val="271"/>
        </w:trPr>
        <w:tc>
          <w:tcPr>
            <w:tcW w:w="2123" w:type="dxa"/>
            <w:vMerge/>
            <w:vAlign w:val="center"/>
          </w:tcPr>
          <w:p w14:paraId="7AC993F6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23E32F7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35E51A" w14:textId="6E678804" w:rsidR="00C621BF" w:rsidRDefault="00FC3B52" w:rsidP="00C621BF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C621BF" w14:paraId="05B53FF9" w14:textId="77777777" w:rsidTr="002154B8">
        <w:tc>
          <w:tcPr>
            <w:tcW w:w="2123" w:type="dxa"/>
            <w:vMerge w:val="restart"/>
            <w:vAlign w:val="center"/>
          </w:tcPr>
          <w:p w14:paraId="7C3F02CC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185B5442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2BC1D1B" w14:textId="0607FBFF" w:rsidR="00C621BF" w:rsidRDefault="00FC3B52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Economie rurală, Marketingul produselor horticole, Economie agrară și politici agricole, Marketing.</w:t>
            </w:r>
          </w:p>
        </w:tc>
      </w:tr>
      <w:tr w:rsidR="00C621BF" w14:paraId="0FF4DA85" w14:textId="77777777" w:rsidTr="002154B8">
        <w:tc>
          <w:tcPr>
            <w:tcW w:w="2123" w:type="dxa"/>
            <w:vMerge/>
            <w:vAlign w:val="center"/>
          </w:tcPr>
          <w:p w14:paraId="1563D88D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2776052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8B702D8" w14:textId="266C1E2A" w:rsidR="00C621BF" w:rsidRDefault="00FC3B52" w:rsidP="00C621BF">
            <w:pPr>
              <w:rPr>
                <w:rFonts w:ascii="Times New Roman" w:hAnsi="Times New Roman" w:cs="Times New Roman"/>
                <w:lang w:val="ro-RO"/>
              </w:rPr>
            </w:pPr>
            <w:r w:rsidRPr="00FC3B52">
              <w:rPr>
                <w:rFonts w:ascii="Times New Roman" w:hAnsi="Times New Roman" w:cs="Times New Roman"/>
                <w:lang w:val="ro-RO"/>
              </w:rPr>
              <w:t>Rural economy, Marketing of horticultural products, Agrarian economy and agricultural policies, Marketing.</w:t>
            </w:r>
          </w:p>
        </w:tc>
      </w:tr>
      <w:tr w:rsidR="00C621BF" w14:paraId="55AF5E9A" w14:textId="77777777" w:rsidTr="002154B8">
        <w:tc>
          <w:tcPr>
            <w:tcW w:w="2123" w:type="dxa"/>
            <w:vMerge w:val="restart"/>
            <w:vAlign w:val="center"/>
          </w:tcPr>
          <w:p w14:paraId="3F6FEB6F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43A7CB9E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73B36BB" w14:textId="433A94B1" w:rsidR="00C621BF" w:rsidRPr="00AB0E4A" w:rsidRDefault="00A76920" w:rsidP="00C621BF">
            <w:pPr>
              <w:rPr>
                <w:rFonts w:ascii="Times New Roman" w:hAnsi="Times New Roman" w:cs="Times New Roman"/>
              </w:rPr>
            </w:pPr>
            <w:r w:rsidRPr="004C35C8">
              <w:rPr>
                <w:rFonts w:ascii="Times New Roman" w:hAnsi="Times New Roman" w:cs="Times New Roman"/>
              </w:rPr>
              <w:t>Inginerie şi Management în Agricultură și Dezvoltare Rurală</w:t>
            </w:r>
          </w:p>
        </w:tc>
      </w:tr>
      <w:tr w:rsidR="00C621BF" w14:paraId="1696ADD9" w14:textId="77777777" w:rsidTr="002154B8">
        <w:tc>
          <w:tcPr>
            <w:tcW w:w="2123" w:type="dxa"/>
            <w:vMerge/>
            <w:vAlign w:val="center"/>
          </w:tcPr>
          <w:p w14:paraId="43CD1C67" w14:textId="77777777" w:rsidR="00C621BF" w:rsidRDefault="00C621BF" w:rsidP="00C621B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EC768D2" w14:textId="77777777" w:rsidR="00C621BF" w:rsidRPr="009C737C" w:rsidRDefault="00C621BF" w:rsidP="00C621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30D0C1E" w14:textId="5F54A6DC" w:rsidR="00C621BF" w:rsidRPr="00AB0E4A" w:rsidRDefault="00A76920" w:rsidP="00C621BF">
            <w:pPr>
              <w:rPr>
                <w:rFonts w:ascii="Times New Roman" w:hAnsi="Times New Roman" w:cs="Times New Roman"/>
              </w:rPr>
            </w:pPr>
            <w:r w:rsidRPr="004C35C8">
              <w:rPr>
                <w:rFonts w:ascii="Times New Roman" w:hAnsi="Times New Roman" w:cs="Times New Roman"/>
              </w:rPr>
              <w:t>Engineering and Management in Agriculture and Rural Development</w:t>
            </w:r>
          </w:p>
        </w:tc>
      </w:tr>
      <w:tr w:rsidR="006722DE" w14:paraId="0068820E" w14:textId="77777777" w:rsidTr="002154B8">
        <w:tc>
          <w:tcPr>
            <w:tcW w:w="2123" w:type="dxa"/>
            <w:vMerge w:val="restart"/>
            <w:vAlign w:val="center"/>
          </w:tcPr>
          <w:p w14:paraId="2D98143B" w14:textId="77777777" w:rsidR="006722DE" w:rsidRDefault="006722DE" w:rsidP="006722D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E4CF054" w14:textId="77777777" w:rsidR="006722DE" w:rsidRPr="009C737C" w:rsidRDefault="006722DE" w:rsidP="006722D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1A732BF" w14:textId="7F897DB5" w:rsidR="006722DE" w:rsidRPr="00DC55F9" w:rsidRDefault="006722DE" w:rsidP="006722DE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Postul de Conferețiar, vacant poziţia II</w:t>
            </w:r>
            <w:r w:rsidR="006C3486">
              <w:rPr>
                <w:rFonts w:ascii="Times New Roman" w:hAnsi="Times New Roman" w:cs="Times New Roman"/>
                <w:color w:val="000000" w:themeColor="text1"/>
                <w:lang w:val="ro-RO"/>
              </w:rPr>
              <w:t>/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B/2 prevăzut în Statul de Funcţiuni al Departamentului de Ştiinţe Economice aprobat în anul universitar 2023-2024, conţine o normă de </w:t>
            </w:r>
            <w:r w:rsidRPr="00DC55F9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13,80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convenţionale, asigurate cu ore de curs, seminar şi lucrări practice , cu următoarea distribuţie semestrială și pe discipline:</w:t>
            </w:r>
          </w:p>
          <w:p w14:paraId="46529B6F" w14:textId="15A503AC" w:rsidR="006722DE" w:rsidRPr="00DC55F9" w:rsidRDefault="006722DE" w:rsidP="006722DE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- Disciplina: 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Economie rurală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efectuată în semestrul I cu studenţii anului I</w:t>
            </w:r>
            <w:r w:rsidR="00CC60E1">
              <w:rPr>
                <w:rFonts w:ascii="Times New Roman" w:hAnsi="Times New Roman" w:cs="Times New Roman"/>
                <w:color w:val="000000" w:themeColor="text1"/>
                <w:lang w:val="ro-RO"/>
              </w:rPr>
              <w:t>V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la programele de studii Inginerie şi Management în Alimentația Publică şi Agroturism (IMAPA) și Inginerie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a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şi Management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ul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Afacerilor Agricole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(IM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AA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), astfel: 2 ore fizice de curs</w:t>
            </w:r>
            <w:r w:rsidR="006C3486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trunchi comun = 4,00 ore convenţionale/săptămână şi câte 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fizice de 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lucrări practice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2 formaţii de lucru ale programelor de studii IMAPA și IM</w:t>
            </w:r>
            <w:r w:rsidR="00A96406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AA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= </w:t>
            </w:r>
            <w:r w:rsidR="0049486D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6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</w:t>
            </w:r>
            <w:r w:rsidR="0049486D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convenţionale/săptămână, cu o medie totală de 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5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14:paraId="6A21C731" w14:textId="768A91A2" w:rsidR="006722DE" w:rsidRPr="00DC55F9" w:rsidRDefault="006722DE" w:rsidP="006722DE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Disciplina: 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Marketingul produselor horticole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efectuată în semestrul 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studenţii anului I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V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la program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ul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studii 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FHADR, astfel: 2 ore fizice de curs = </w:t>
            </w:r>
            <w:r w:rsidR="00FB6AF3"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4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,00 ore convenţionale/săptămână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(</w:t>
            </w:r>
            <w:r w:rsidR="00FB6AF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</w:t>
            </w:r>
            <w:r w:rsidR="00FB6AF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convențional</w:t>
            </w:r>
            <w:r w:rsidR="00FB6AF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/an) și câte 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ră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fizic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seminar cu 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formaţi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lucru a program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ului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studii </w:t>
            </w:r>
            <w:r w:rsidR="0008392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Horticultură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= </w:t>
            </w:r>
            <w:r w:rsidR="00083924"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1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 or</w:t>
            </w:r>
            <w:r w:rsidR="00083924"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 de seminar convenţional</w:t>
            </w:r>
            <w:r w:rsidR="00083924"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/săptămână (</w:t>
            </w:r>
            <w:r w:rsidR="00FB6AF3"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0.5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 or</w:t>
            </w:r>
            <w:r w:rsidR="00FB6AF3"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e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 convențional</w:t>
            </w:r>
            <w:r w:rsidR="00FB6AF3"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e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/an)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cu o medie totală de </w:t>
            </w:r>
            <w:r w:rsidR="00FB6AF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2.5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14:paraId="2CE382C9" w14:textId="3453AFE7" w:rsidR="006722DE" w:rsidRPr="00DC55F9" w:rsidRDefault="006722DE" w:rsidP="006722DE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Disciplina: </w:t>
            </w:r>
            <w:r w:rsidR="00FB6AF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Economie agrară și politici agricole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efectuată în semestrul I cu studenţii anului III de la programul de studii </w:t>
            </w:r>
            <w:r w:rsidR="00FB6AF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Horticultură al FHADR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astfel: 2 ore fizice de curs  = </w:t>
            </w:r>
            <w:r w:rsidR="00372BFE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,00 ore convenţionale/ săptămână (</w:t>
            </w:r>
            <w:r w:rsidR="00372BFE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2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oră convențională/an) și 2 ore fizice de seminar cu 1 formaţie de lucru = 2 ore de seminar convenţionale/săptămână (1 or</w:t>
            </w:r>
            <w:r w:rsidR="008C10A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convențională/an), cu o medie totală de </w:t>
            </w:r>
            <w:r w:rsidR="008C10A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14:paraId="28AC98A4" w14:textId="22FD52CD" w:rsidR="006722DE" w:rsidRPr="00DC55F9" w:rsidRDefault="006722DE" w:rsidP="00BC4823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Disciplina: 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Marketing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efectuată în semestrul II (10 săptămâni) cu studenţii anului IV de la program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ul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studii 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Peisagistică al FHADR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astfel: 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2 ore fizice de curs  = 4,00 ore convenţionale/ săptămână (2 or</w:t>
            </w:r>
            <w:r w:rsidR="006C3486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convențional</w:t>
            </w:r>
            <w:r w:rsidR="006C3486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/an) și 2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fizice de lucrări practice cu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DC55F9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formaţi</w:t>
            </w:r>
            <w:r w:rsidR="00DC55F9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="00BC4823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lucru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= </w:t>
            </w:r>
            <w:r w:rsidR="00DC55F9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convenţionale/săptămână, cu o medie totală de 3,</w:t>
            </w:r>
            <w:r w:rsidR="00DC55F9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</w:tc>
      </w:tr>
      <w:tr w:rsidR="006722DE" w14:paraId="44CC390F" w14:textId="77777777" w:rsidTr="002154B8">
        <w:tc>
          <w:tcPr>
            <w:tcW w:w="2123" w:type="dxa"/>
            <w:vMerge/>
            <w:vAlign w:val="center"/>
          </w:tcPr>
          <w:p w14:paraId="44520896" w14:textId="77777777" w:rsidR="006722DE" w:rsidRDefault="006722DE" w:rsidP="006722D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A20307F" w14:textId="77777777" w:rsidR="006722DE" w:rsidRPr="009C737C" w:rsidRDefault="006722DE" w:rsidP="006722D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77C9D0" w14:textId="0820AC7D" w:rsidR="00CC60E1" w:rsidRDefault="00DC55F9" w:rsidP="00CC60E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152754">
              <w:rPr>
                <w:rFonts w:ascii="Times New Roman" w:hAnsi="Times New Roman" w:cs="Times New Roman"/>
                <w:lang w:val="ro-RO"/>
              </w:rPr>
              <w:t xml:space="preserve">The available position of </w:t>
            </w:r>
            <w:r w:rsidRPr="00E13C88">
              <w:rPr>
                <w:rFonts w:ascii="Times New Roman" w:hAnsi="Times New Roman" w:cs="Times New Roman"/>
                <w:lang w:val="ro-RO"/>
              </w:rPr>
              <w:t>Associate professor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from the Department of Economic Sciences, </w:t>
            </w:r>
            <w:r>
              <w:rPr>
                <w:rFonts w:ascii="Times New Roman" w:hAnsi="Times New Roman" w:cs="Times New Roman"/>
                <w:lang w:val="ro-RO"/>
              </w:rPr>
              <w:t>number II/B/2, academic year 2023-2024</w:t>
            </w:r>
            <w:r w:rsidRPr="00152754">
              <w:rPr>
                <w:rFonts w:ascii="Times New Roman" w:hAnsi="Times New Roman" w:cs="Times New Roman"/>
                <w:lang w:val="ro-RO"/>
              </w:rPr>
              <w:t>, includes 1</w:t>
            </w:r>
            <w:r>
              <w:rPr>
                <w:rFonts w:ascii="Times New Roman" w:hAnsi="Times New Roman" w:cs="Times New Roman"/>
                <w:lang w:val="ro-RO"/>
              </w:rPr>
              <w:t>3,8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conventional hours.</w:t>
            </w:r>
            <w:r w:rsidR="00CC60E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C60E1" w:rsidRPr="00152754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="00CC60E1">
              <w:rPr>
                <w:rFonts w:ascii="Times New Roman" w:hAnsi="Times New Roman" w:cs="Times New Roman"/>
                <w:lang w:val="ro-RO"/>
              </w:rPr>
              <w:t>13</w:t>
            </w:r>
            <w:r w:rsidR="00CC60E1" w:rsidRPr="00152754">
              <w:rPr>
                <w:rFonts w:ascii="Times New Roman" w:hAnsi="Times New Roman" w:cs="Times New Roman"/>
                <w:lang w:val="ro-RO"/>
              </w:rPr>
              <w:t>,</w:t>
            </w:r>
            <w:r w:rsidR="00CC60E1">
              <w:rPr>
                <w:rFonts w:ascii="Times New Roman" w:hAnsi="Times New Roman" w:cs="Times New Roman"/>
                <w:lang w:val="ro-RO"/>
              </w:rPr>
              <w:t>8</w:t>
            </w:r>
            <w:r w:rsidR="00CC60E1" w:rsidRPr="00152754">
              <w:rPr>
                <w:rFonts w:ascii="Times New Roman" w:hAnsi="Times New Roman" w:cs="Times New Roman"/>
                <w:lang w:val="ro-RO"/>
              </w:rPr>
              <w:t xml:space="preserve"> conventional hours include: courses, seminars and </w:t>
            </w:r>
            <w:r w:rsidR="00CC60E1" w:rsidRPr="00DC55F9">
              <w:rPr>
                <w:rFonts w:ascii="Times New Roman" w:hAnsi="Times New Roman" w:cs="Times New Roman"/>
                <w:lang w:val="ro-RO"/>
              </w:rPr>
              <w:t>practical works</w:t>
            </w:r>
            <w:r w:rsidR="00CC60E1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CC60E1" w:rsidRPr="00152754">
              <w:rPr>
                <w:rFonts w:ascii="Times New Roman" w:hAnsi="Times New Roman" w:cs="Times New Roman"/>
                <w:lang w:val="ro-RO"/>
              </w:rPr>
              <w:t xml:space="preserve">The distribution of the subjects </w:t>
            </w:r>
            <w:r w:rsidR="00CC60E1">
              <w:rPr>
                <w:rFonts w:ascii="Times New Roman" w:hAnsi="Times New Roman" w:cs="Times New Roman"/>
                <w:lang w:val="ro-RO"/>
              </w:rPr>
              <w:t xml:space="preserve">and hours </w:t>
            </w:r>
            <w:r w:rsidR="00CC60E1" w:rsidRPr="00152754">
              <w:rPr>
                <w:rFonts w:ascii="Times New Roman" w:hAnsi="Times New Roman" w:cs="Times New Roman"/>
                <w:lang w:val="ro-RO"/>
              </w:rPr>
              <w:t xml:space="preserve">by semesters </w:t>
            </w:r>
            <w:r w:rsidR="00CC60E1">
              <w:rPr>
                <w:rFonts w:ascii="Times New Roman" w:hAnsi="Times New Roman" w:cs="Times New Roman"/>
                <w:lang w:val="ro-RO"/>
              </w:rPr>
              <w:t>is</w:t>
            </w:r>
            <w:r w:rsidR="00CC60E1" w:rsidRPr="00152754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20AEB3F1" w14:textId="635E9678" w:rsidR="00DC55F9" w:rsidRPr="00DC55F9" w:rsidRDefault="00DC55F9" w:rsidP="00DC55F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CC60E1">
              <w:rPr>
                <w:rFonts w:ascii="Times New Roman" w:hAnsi="Times New Roman" w:cs="Times New Roman"/>
                <w:lang w:val="ro-RO"/>
              </w:rPr>
              <w:t>Subject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: Rural economy, </w:t>
            </w:r>
            <w:r w:rsidR="00CC60E1"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="00CC60E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C60E1" w:rsidRPr="00CD1B8B">
              <w:rPr>
                <w:rFonts w:ascii="Times New Roman" w:hAnsi="Times New Roman" w:cs="Times New Roman"/>
                <w:lang w:val="ro-RO"/>
              </w:rPr>
              <w:t xml:space="preserve">in the first semester with the students of the </w:t>
            </w:r>
            <w:r w:rsidR="006C3486">
              <w:rPr>
                <w:rFonts w:ascii="Times New Roman" w:hAnsi="Times New Roman" w:cs="Times New Roman"/>
                <w:lang w:val="ro-RO"/>
              </w:rPr>
              <w:t>4th</w:t>
            </w:r>
            <w:r w:rsidR="00CC60E1" w:rsidRPr="00CD1B8B">
              <w:rPr>
                <w:rFonts w:ascii="Times New Roman" w:hAnsi="Times New Roman" w:cs="Times New Roman"/>
                <w:lang w:val="ro-RO"/>
              </w:rPr>
              <w:t xml:space="preserve"> year from the Engineering and Management in Public Nourishment and Agritourism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(IMAPA) and </w:t>
            </w:r>
            <w:r w:rsidR="00CC60E1" w:rsidRPr="00F000CB">
              <w:rPr>
                <w:rFonts w:ascii="Times New Roman" w:hAnsi="Times New Roman" w:cs="Times New Roman"/>
                <w:lang w:val="ro-RO"/>
              </w:rPr>
              <w:t>Engineering and Management of Agricultural Affairs</w:t>
            </w:r>
            <w:r w:rsidR="00CC60E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(IMAA) study programs, as follows: 2 physical hours of common core course = 4.00 conventional </w:t>
            </w:r>
            <w:r w:rsidRPr="00DC55F9">
              <w:rPr>
                <w:rFonts w:ascii="Times New Roman" w:hAnsi="Times New Roman" w:cs="Times New Roman"/>
                <w:lang w:val="ro-RO"/>
              </w:rPr>
              <w:lastRenderedPageBreak/>
              <w:t xml:space="preserve">hours/week and 3 physical hours of practical work with 2 work formations of the </w:t>
            </w:r>
            <w:r w:rsidR="00CC60E1" w:rsidRPr="00DC55F9">
              <w:rPr>
                <w:rFonts w:ascii="Times New Roman" w:hAnsi="Times New Roman" w:cs="Times New Roman"/>
                <w:lang w:val="ro-RO"/>
              </w:rPr>
              <w:t xml:space="preserve">study programs </w:t>
            </w:r>
            <w:r w:rsidRPr="00DC55F9">
              <w:rPr>
                <w:rFonts w:ascii="Times New Roman" w:hAnsi="Times New Roman" w:cs="Times New Roman"/>
                <w:lang w:val="ro-RO"/>
              </w:rPr>
              <w:t>IMAPA and IMAA = 6 conventional hours/week, with a total average of 5 conventional hours/year;</w:t>
            </w:r>
          </w:p>
          <w:p w14:paraId="6939F28D" w14:textId="5C098800" w:rsidR="00DC55F9" w:rsidRPr="00DC55F9" w:rsidRDefault="00DC55F9" w:rsidP="00DC55F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922C0">
              <w:rPr>
                <w:rFonts w:ascii="Times New Roman" w:hAnsi="Times New Roman" w:cs="Times New Roman"/>
                <w:lang w:val="ro-RO"/>
              </w:rPr>
              <w:t>Subjec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: Marketing of horticultural products, </w:t>
            </w:r>
            <w:r w:rsidR="00CC60E1"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="00CC60E1" w:rsidRPr="00DC55F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in the first semester with students of the </w:t>
            </w:r>
            <w:r w:rsidR="00CC60E1">
              <w:rPr>
                <w:rFonts w:ascii="Times New Roman" w:hAnsi="Times New Roman" w:cs="Times New Roman"/>
                <w:lang w:val="ro-RO"/>
              </w:rPr>
              <w:t>4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th year from the Horticulture study program of FHADR, as follows: 2 physical hours course = 4.00 conventional hours/week (2 conventional hours/year) and 1 </w:t>
            </w:r>
            <w:r w:rsidR="005922C0" w:rsidRPr="00DC55F9">
              <w:rPr>
                <w:rFonts w:ascii="Times New Roman" w:hAnsi="Times New Roman" w:cs="Times New Roman"/>
                <w:lang w:val="ro-RO"/>
              </w:rPr>
              <w:t>physic</w:t>
            </w:r>
            <w:r w:rsidR="005922C0">
              <w:rPr>
                <w:rFonts w:ascii="Times New Roman" w:hAnsi="Times New Roman" w:cs="Times New Roman"/>
                <w:lang w:val="ro-RO"/>
              </w:rPr>
              <w:t>al</w:t>
            </w:r>
            <w:r w:rsidR="005922C0" w:rsidRPr="00DC55F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>hour each seminar with 1 work formation of the Horticulture study program = 1 conventional seminar hour/week (0.5 conventional hours/year), with a total average of 2.5 conventional hours/year;</w:t>
            </w:r>
          </w:p>
          <w:p w14:paraId="6F1AF3EF" w14:textId="625FC1AF" w:rsidR="00DC55F9" w:rsidRPr="00DC55F9" w:rsidRDefault="00DC55F9" w:rsidP="00DC55F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922C0">
              <w:rPr>
                <w:rFonts w:ascii="Times New Roman" w:hAnsi="Times New Roman" w:cs="Times New Roman"/>
                <w:lang w:val="ro-RO"/>
              </w:rPr>
              <w:t>Subjec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: Agrarian economy and agricultural policies, </w:t>
            </w:r>
            <w:r w:rsidR="005922C0"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="005922C0" w:rsidRPr="00DC55F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in the first semester with students of the </w:t>
            </w:r>
            <w:r w:rsidR="005922C0">
              <w:rPr>
                <w:rFonts w:ascii="Times New Roman" w:hAnsi="Times New Roman" w:cs="Times New Roman"/>
                <w:lang w:val="ro-RO"/>
              </w:rPr>
              <w:t>3</w:t>
            </w:r>
            <w:r w:rsidRPr="00DC55F9">
              <w:rPr>
                <w:rFonts w:ascii="Times New Roman" w:hAnsi="Times New Roman" w:cs="Times New Roman"/>
                <w:lang w:val="ro-RO"/>
              </w:rPr>
              <w:t>rd year from the Horticulture study program of FHADR, as follows: 2 physical hours</w:t>
            </w:r>
            <w:r w:rsidR="005922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course = 4.00 conventional hours/week (2 conventional hours/year) and 2 </w:t>
            </w:r>
            <w:r w:rsidR="005922C0" w:rsidRPr="00DC55F9">
              <w:rPr>
                <w:rFonts w:ascii="Times New Roman" w:hAnsi="Times New Roman" w:cs="Times New Roman"/>
                <w:lang w:val="ro-RO"/>
              </w:rPr>
              <w:t xml:space="preserve">hours </w:t>
            </w:r>
            <w:r w:rsidRPr="00DC55F9">
              <w:rPr>
                <w:rFonts w:ascii="Times New Roman" w:hAnsi="Times New Roman" w:cs="Times New Roman"/>
                <w:lang w:val="ro-RO"/>
              </w:rPr>
              <w:t>physical seminar with 1 work formation = 2 conventional seminar hours/week (1 conventional hour/year), with a total average of 3 conventional hours/year;</w:t>
            </w:r>
          </w:p>
          <w:p w14:paraId="5FF13D5E" w14:textId="24C17F03" w:rsidR="006722DE" w:rsidRPr="00BF7FA5" w:rsidRDefault="00DC55F9" w:rsidP="00DC55F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5922C0">
              <w:rPr>
                <w:rFonts w:ascii="Times New Roman" w:hAnsi="Times New Roman" w:cs="Times New Roman"/>
                <w:lang w:val="ro-RO"/>
              </w:rPr>
              <w:t>Subjec</w:t>
            </w:r>
            <w:r w:rsidR="006C3486">
              <w:rPr>
                <w:rFonts w:ascii="Times New Roman" w:hAnsi="Times New Roman" w:cs="Times New Roman"/>
                <w:lang w:val="ro-RO"/>
              </w:rPr>
              <w:t>t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: Marketing, </w:t>
            </w:r>
            <w:r w:rsidR="005922C0"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="005922C0" w:rsidRPr="00DC55F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in the </w:t>
            </w:r>
            <w:r w:rsidR="005922C0">
              <w:rPr>
                <w:rFonts w:ascii="Times New Roman" w:hAnsi="Times New Roman" w:cs="Times New Roman"/>
                <w:lang w:val="ro-RO"/>
              </w:rPr>
              <w:t>2nd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semester (10 weeks) with </w:t>
            </w:r>
            <w:r w:rsidR="006C3486">
              <w:rPr>
                <w:rFonts w:ascii="Times New Roman" w:hAnsi="Times New Roman" w:cs="Times New Roman"/>
                <w:lang w:val="ro-RO"/>
              </w:rPr>
              <w:t>4th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year students from the FHADR's Landscape study program, as follows: 2 physical hours course = 4.00 conventional hours/week (2 conventional hours/year) and 2 physical hours of practical work with 2 work formations = 4 conventional hours/week, with a total average of 3.3 conventional hours/year;</w:t>
            </w:r>
          </w:p>
        </w:tc>
      </w:tr>
      <w:tr w:rsidR="006722DE" w14:paraId="540A922E" w14:textId="77777777" w:rsidTr="002154B8">
        <w:tc>
          <w:tcPr>
            <w:tcW w:w="2123" w:type="dxa"/>
            <w:vMerge w:val="restart"/>
            <w:vAlign w:val="center"/>
          </w:tcPr>
          <w:p w14:paraId="69B5BC3A" w14:textId="77777777" w:rsidR="006722DE" w:rsidRDefault="006722DE" w:rsidP="006722D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7C02FDB8" w14:textId="77777777" w:rsidR="006722DE" w:rsidRPr="009C737C" w:rsidRDefault="006722DE" w:rsidP="006722D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A79951B" w14:textId="77777777" w:rsidR="006722DE" w:rsidRDefault="005922C0" w:rsidP="006722D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Pregătirea şi efectuarea orelor de curs, seminar, lucrări practice</w:t>
            </w:r>
            <w:r>
              <w:rPr>
                <w:rFonts w:ascii="Times New Roman" w:hAnsi="Times New Roman" w:cs="Times New Roman"/>
                <w:lang w:val="ro-RO"/>
              </w:rPr>
              <w:t>-proiect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pentru disciplinele cuprinse în norma didactică, respectiv disciplinele: </w:t>
            </w:r>
            <w:r w:rsidR="0015520B">
              <w:rPr>
                <w:rFonts w:ascii="Times New Roman" w:hAnsi="Times New Roman" w:cs="Times New Roman"/>
                <w:lang w:val="ro-RO"/>
              </w:rPr>
              <w:t>Economie rurală, Marketingul produselor horticole, Economie agrară și politici agricole, Marketing</w:t>
            </w:r>
            <w:r>
              <w:rPr>
                <w:rFonts w:ascii="Times New Roman" w:hAnsi="Times New Roman" w:cs="Times New Roman"/>
                <w:lang w:val="ro-RO"/>
              </w:rPr>
              <w:t>, conform descrierii postului.</w:t>
            </w:r>
          </w:p>
          <w:p w14:paraId="239F4676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Întocmirea fişelor de disciplină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şi a programelor analitice;</w:t>
            </w:r>
          </w:p>
          <w:p w14:paraId="305EE4CD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Pregătirea activităţii didactice ;</w:t>
            </w:r>
          </w:p>
          <w:p w14:paraId="437C4E56" w14:textId="344235A4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Examinarea studenților, verificarea și discutarea temelor, studiilor de caz, proiectelor; </w:t>
            </w:r>
          </w:p>
          <w:p w14:paraId="12D6061F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Consultaţii pentru studenţi asigurate la disciplinele din normă;  </w:t>
            </w:r>
          </w:p>
          <w:p w14:paraId="37B594AD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Asistenţă la examene; </w:t>
            </w:r>
          </w:p>
          <w:p w14:paraId="4C157A47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Îndrumare proiecte licenţă; </w:t>
            </w:r>
          </w:p>
          <w:p w14:paraId="6F00CFEE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Elaborare material</w:t>
            </w:r>
            <w:r>
              <w:rPr>
                <w:rFonts w:ascii="Times New Roman" w:hAnsi="Times New Roman" w:cs="Times New Roman"/>
                <w:lang w:val="ro-RO"/>
              </w:rPr>
              <w:t>e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didactice; </w:t>
            </w:r>
          </w:p>
          <w:p w14:paraId="0D35CB02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Activitate de cercetare ştiinţifică; </w:t>
            </w:r>
          </w:p>
          <w:p w14:paraId="63B9D4C8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Îndrumare activităţi de practică în cursul anului universitar; </w:t>
            </w:r>
          </w:p>
          <w:p w14:paraId="6B24DA50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 la manifestări ştiinţifice; </w:t>
            </w:r>
          </w:p>
          <w:p w14:paraId="7FD83136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  <w:r>
              <w:rPr>
                <w:rFonts w:ascii="Times New Roman" w:hAnsi="Times New Roman" w:cs="Times New Roman"/>
                <w:lang w:val="ro-RO"/>
              </w:rPr>
              <w:t xml:space="preserve"> de la departament</w:t>
            </w:r>
            <w:r w:rsidRPr="007F449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3E4D217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Activităţi de promovare şi legătura cu mediul economic; </w:t>
            </w:r>
          </w:p>
          <w:p w14:paraId="1C5C7E5F" w14:textId="77777777" w:rsidR="0015520B" w:rsidRPr="007F449C" w:rsidRDefault="0015520B" w:rsidP="0015520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Participarea la activităţi civice, culturale, administrative şi de evaluare în sprijinul învăţământului; </w:t>
            </w:r>
          </w:p>
          <w:p w14:paraId="19CC7754" w14:textId="2368B6F7" w:rsidR="0015520B" w:rsidRDefault="0015520B" w:rsidP="0015520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Alte activităţi pentru pregătirea practică şi teoretică a studenţilor.</w:t>
            </w:r>
          </w:p>
        </w:tc>
      </w:tr>
      <w:tr w:rsidR="001C5607" w14:paraId="75C12501" w14:textId="77777777" w:rsidTr="002154B8">
        <w:tc>
          <w:tcPr>
            <w:tcW w:w="2123" w:type="dxa"/>
            <w:vMerge/>
            <w:vAlign w:val="center"/>
          </w:tcPr>
          <w:p w14:paraId="3496BF2F" w14:textId="77777777" w:rsidR="001C5607" w:rsidRDefault="001C5607" w:rsidP="001C56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6314B10" w14:textId="77777777" w:rsidR="001C5607" w:rsidRPr="009C737C" w:rsidRDefault="001C5607" w:rsidP="001C560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2A92933" w14:textId="5C968086" w:rsidR="001C5607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Preparing and teaching the course, se</w:t>
            </w:r>
            <w:r>
              <w:rPr>
                <w:rFonts w:ascii="Times New Roman" w:hAnsi="Times New Roman" w:cs="Times New Roman"/>
                <w:lang w:val="ro-RO"/>
              </w:rPr>
              <w:t>minars and/or laboratory works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for the subjects that are part of the position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>
              <w:t xml:space="preserve"> </w:t>
            </w:r>
            <w:r w:rsidRPr="00FC3B52">
              <w:rPr>
                <w:rFonts w:ascii="Times New Roman" w:hAnsi="Times New Roman" w:cs="Times New Roman"/>
                <w:lang w:val="ro-RO"/>
              </w:rPr>
              <w:t>Rural economy, Marketing of horticultural products, Agrarian economy and agricultural policies, Marketing</w:t>
            </w:r>
            <w:r w:rsidRPr="007F449C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E9E72A6" w14:textId="14CD873F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the syllabus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FA14482" w14:textId="2BCA4B50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the teaching activities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8CE393E" w14:textId="77777777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Examining students, checking and discussing assignments, case studies, projects;</w:t>
            </w:r>
          </w:p>
          <w:p w14:paraId="4A76EFD7" w14:textId="0AB80439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Consulting for the students for the taught subjects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FDBEFA9" w14:textId="33ED3143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final papers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385F718" w14:textId="2D879635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teaching materials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5651F40" w14:textId="459A31F1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Research activity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36C9153" w14:textId="477AB75A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scientific students groups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70FE409" w14:textId="49D8D881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practical training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7AC00AA" w14:textId="1EF69A6B" w:rsidR="001C5607" w:rsidRPr="003112A1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Participation to scientific manifestations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CA259F8" w14:textId="758EAE45" w:rsidR="001C5607" w:rsidRPr="00A13C7A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A13C7A">
              <w:rPr>
                <w:rFonts w:ascii="Times New Roman" w:hAnsi="Times New Roman" w:cs="Times New Roman"/>
                <w:lang w:val="ro-RO"/>
              </w:rPr>
              <w:t xml:space="preserve">Participation </w:t>
            </w:r>
            <w:r>
              <w:rPr>
                <w:rFonts w:ascii="Times New Roman" w:hAnsi="Times New Roman" w:cs="Times New Roman"/>
                <w:lang w:val="ro-RO"/>
              </w:rPr>
              <w:t>at the</w:t>
            </w:r>
            <w:r w:rsidRPr="00A13C7A">
              <w:rPr>
                <w:rFonts w:ascii="Times New Roman" w:hAnsi="Times New Roman" w:cs="Times New Roman"/>
                <w:lang w:val="ro-RO"/>
              </w:rPr>
              <w:t xml:space="preserve"> administrative, teaching and research activities of the department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B623B42" w14:textId="7DC07E21" w:rsidR="001C5607" w:rsidRPr="00A13C7A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Promoting and creating connection with the economic environment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2884DB6" w14:textId="5CB3BBF0" w:rsidR="001C5607" w:rsidRPr="00A13C7A" w:rsidRDefault="001C5607" w:rsidP="001C5607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Participation to cultural, administrative and evaluation activities in order to support the education system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C19683F" w14:textId="3D273096" w:rsidR="001C5607" w:rsidRDefault="001C5607" w:rsidP="001C560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Other activities for practical training and theoretical education of the students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1C5607" w14:paraId="589D6EAD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0DB59BC4" w14:textId="77777777" w:rsidR="001C5607" w:rsidRDefault="001C5607" w:rsidP="001C56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Tematica probelor de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>concurs şi bibliografia</w:t>
            </w:r>
          </w:p>
        </w:tc>
        <w:tc>
          <w:tcPr>
            <w:tcW w:w="567" w:type="dxa"/>
            <w:vAlign w:val="center"/>
          </w:tcPr>
          <w:p w14:paraId="0B25602F" w14:textId="77777777" w:rsidR="001C5607" w:rsidRPr="009C737C" w:rsidRDefault="001C5607" w:rsidP="001C560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RO</w:t>
            </w:r>
          </w:p>
        </w:tc>
        <w:tc>
          <w:tcPr>
            <w:tcW w:w="7732" w:type="dxa"/>
          </w:tcPr>
          <w:p w14:paraId="0DAE9115" w14:textId="77777777" w:rsidR="002B77E6" w:rsidRPr="00F4429F" w:rsidRDefault="002B77E6" w:rsidP="002B77E6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Tematica:</w:t>
            </w:r>
          </w:p>
          <w:p w14:paraId="208FAE99" w14:textId="6CD692F4" w:rsidR="001C5607" w:rsidRPr="00F4429F" w:rsidRDefault="002B77E6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r w:rsidRPr="00F4429F">
              <w:rPr>
                <w:rFonts w:ascii="Times New Roman" w:hAnsi="Times New Roman" w:cs="Times New Roman"/>
                <w:lang w:val="fr-FR"/>
              </w:rPr>
              <w:lastRenderedPageBreak/>
              <w:t>Dezvoltare</w:t>
            </w:r>
            <w:r w:rsidR="006D598F" w:rsidRPr="00F4429F">
              <w:rPr>
                <w:rFonts w:ascii="Times New Roman" w:hAnsi="Times New Roman" w:cs="Times New Roman"/>
                <w:lang w:val="fr-FR"/>
              </w:rPr>
              <w:t>a</w:t>
            </w:r>
            <w:r w:rsidRPr="00F4429F">
              <w:rPr>
                <w:rFonts w:ascii="Times New Roman" w:hAnsi="Times New Roman" w:cs="Times New Roman"/>
                <w:lang w:val="fr-FR"/>
              </w:rPr>
              <w:t xml:space="preserve"> sustenabilă a spaţiului rural</w:t>
            </w:r>
            <w:r w:rsidR="00B946F3">
              <w:rPr>
                <w:rFonts w:ascii="Times New Roman" w:hAnsi="Times New Roman" w:cs="Times New Roman"/>
                <w:lang w:val="fr-FR"/>
              </w:rPr>
              <w:t>;</w:t>
            </w:r>
          </w:p>
          <w:p w14:paraId="52F9920D" w14:textId="77777777" w:rsidR="002B77E6" w:rsidRPr="00F4429F" w:rsidRDefault="002B77E6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r w:rsidRPr="00F4429F">
              <w:rPr>
                <w:rFonts w:ascii="Times New Roman" w:hAnsi="Times New Roman" w:cs="Times New Roman"/>
                <w:lang w:val="ro-RO"/>
              </w:rPr>
              <w:t>Metode de creștere a valorii adăugate a produselor agricole/alimentare;</w:t>
            </w:r>
          </w:p>
          <w:p w14:paraId="512F9704" w14:textId="77777777" w:rsidR="00B946F3" w:rsidRPr="00F4429F" w:rsidRDefault="00B946F3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r w:rsidRPr="00F4429F">
              <w:rPr>
                <w:rFonts w:ascii="Times New Roman" w:hAnsi="Times New Roman" w:cs="Times New Roman"/>
                <w:lang w:val="fr-FR"/>
              </w:rPr>
              <w:t>Caracteristicile şi structura economiei rurale pe principalele sectoare de activitate;</w:t>
            </w:r>
          </w:p>
          <w:p w14:paraId="6BE56298" w14:textId="77777777" w:rsidR="00107078" w:rsidRPr="00F4429F" w:rsidRDefault="00107078" w:rsidP="0010707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4429F">
              <w:rPr>
                <w:rFonts w:ascii="Times New Roman" w:eastAsia="Calibri" w:hAnsi="Times New Roman" w:cs="Times New Roman"/>
                <w:bCs/>
              </w:rPr>
              <w:t>Factorii de producție. Costurile de producție;</w:t>
            </w:r>
          </w:p>
          <w:p w14:paraId="30B92B8F" w14:textId="77777777" w:rsidR="00066103" w:rsidRPr="00F4429F" w:rsidRDefault="006D598F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r w:rsidRPr="00F4429F">
              <w:rPr>
                <w:rFonts w:ascii="Times New Roman" w:eastAsia="Calibri" w:hAnsi="Times New Roman" w:cs="Times New Roman"/>
                <w:bCs/>
              </w:rPr>
              <w:t>Analiza utilizării factorilor de produc</w:t>
            </w:r>
            <w:r w:rsidRPr="00F4429F">
              <w:rPr>
                <w:rFonts w:ascii="Times New Roman" w:eastAsia="Calibri" w:hAnsi="Times New Roman" w:cs="Times New Roman"/>
                <w:bCs/>
                <w:lang w:val="ro-RO"/>
              </w:rPr>
              <w:t>ț</w:t>
            </w:r>
            <w:r w:rsidRPr="00F4429F">
              <w:rPr>
                <w:rFonts w:ascii="Times New Roman" w:eastAsia="Calibri" w:hAnsi="Times New Roman" w:cs="Times New Roman"/>
                <w:bCs/>
              </w:rPr>
              <w:t>ie din agricultură;</w:t>
            </w:r>
          </w:p>
          <w:p w14:paraId="3286987F" w14:textId="3CB7D597" w:rsidR="00F4429F" w:rsidRDefault="00066103" w:rsidP="0010707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4429F">
              <w:rPr>
                <w:rFonts w:ascii="Times New Roman" w:hAnsi="Times New Roman" w:cs="Times New Roman"/>
              </w:rPr>
              <w:t>Comportamentul producătorului</w:t>
            </w:r>
            <w:r w:rsidR="00F4429F">
              <w:rPr>
                <w:rFonts w:ascii="Times New Roman" w:hAnsi="Times New Roman" w:cs="Times New Roman"/>
              </w:rPr>
              <w:t xml:space="preserve"> de produse agricole/alimentare</w:t>
            </w:r>
            <w:r w:rsidRPr="00F4429F">
              <w:rPr>
                <w:rFonts w:ascii="Times New Roman" w:hAnsi="Times New Roman" w:cs="Times New Roman"/>
              </w:rPr>
              <w:t xml:space="preserve"> </w:t>
            </w:r>
          </w:p>
          <w:p w14:paraId="137E2D31" w14:textId="1D5D5419" w:rsidR="00066103" w:rsidRPr="00F4429F" w:rsidRDefault="00066103" w:rsidP="0010707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4429F">
              <w:rPr>
                <w:rFonts w:ascii="Times New Roman" w:hAnsi="Times New Roman" w:cs="Times New Roman"/>
              </w:rPr>
              <w:t>Comportamentul consumatorului</w:t>
            </w:r>
            <w:r w:rsidR="00F4429F">
              <w:rPr>
                <w:rFonts w:ascii="Times New Roman" w:hAnsi="Times New Roman" w:cs="Times New Roman"/>
              </w:rPr>
              <w:t xml:space="preserve"> </w:t>
            </w:r>
            <w:r w:rsidR="00B946F3">
              <w:rPr>
                <w:rFonts w:ascii="Times New Roman" w:hAnsi="Times New Roman" w:cs="Times New Roman"/>
              </w:rPr>
              <w:t xml:space="preserve">de produse </w:t>
            </w:r>
            <w:r w:rsidR="00F4429F">
              <w:rPr>
                <w:rFonts w:ascii="Times New Roman" w:hAnsi="Times New Roman" w:cs="Times New Roman"/>
              </w:rPr>
              <w:t>agricole/alimentare;</w:t>
            </w:r>
          </w:p>
          <w:p w14:paraId="0077A6B1" w14:textId="207012A8" w:rsidR="00066103" w:rsidRPr="00F4429F" w:rsidRDefault="00066103" w:rsidP="00107078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4429F">
              <w:rPr>
                <w:rFonts w:ascii="Times New Roman" w:hAnsi="Times New Roman" w:cs="Times New Roman"/>
              </w:rPr>
              <w:t>Mediul de marketing al firmei. Instrumente de analiză a mediului de marketing</w:t>
            </w:r>
            <w:r w:rsidR="00B946F3">
              <w:rPr>
                <w:rFonts w:ascii="Times New Roman" w:hAnsi="Times New Roman" w:cs="Times New Roman"/>
              </w:rPr>
              <w:t>;</w:t>
            </w:r>
          </w:p>
          <w:p w14:paraId="5E4FA507" w14:textId="5B0537AF" w:rsidR="006D598F" w:rsidRPr="00F4429F" w:rsidRDefault="00066103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r w:rsidRPr="00F4429F">
              <w:rPr>
                <w:rFonts w:ascii="Times New Roman" w:hAnsi="Times New Roman" w:cs="Times New Roman"/>
                <w:lang w:val="ro-RO"/>
              </w:rPr>
              <w:t>Mixul de marketing</w:t>
            </w:r>
            <w:r w:rsidR="00107078">
              <w:rPr>
                <w:rFonts w:ascii="Times New Roman" w:hAnsi="Times New Roman" w:cs="Times New Roman"/>
                <w:lang w:val="ro-RO"/>
              </w:rPr>
              <w:t>. Produs, Preț, Plasare și Promovare;</w:t>
            </w:r>
          </w:p>
          <w:p w14:paraId="1FA3DB34" w14:textId="7236177A" w:rsidR="00066103" w:rsidRPr="00F4429F" w:rsidRDefault="00066103" w:rsidP="00107078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F4429F">
              <w:rPr>
                <w:rFonts w:ascii="Times New Roman" w:hAnsi="Times New Roman" w:cs="Times New Roman"/>
              </w:rPr>
              <w:t>Piața și studiul de piață</w:t>
            </w:r>
            <w:r w:rsidR="00107078">
              <w:rPr>
                <w:rFonts w:ascii="Times New Roman" w:hAnsi="Times New Roman" w:cs="Times New Roman"/>
              </w:rPr>
              <w:t>;</w:t>
            </w:r>
          </w:p>
          <w:p w14:paraId="063F2B49" w14:textId="0C87BCF7" w:rsidR="00066103" w:rsidRPr="00107078" w:rsidRDefault="00F4429F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r w:rsidRPr="00F4429F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Segmentarea,</w:t>
            </w:r>
            <w:r w:rsidRPr="00F4429F">
              <w:rPr>
                <w:rStyle w:val="a"/>
                <w:rFonts w:ascii="Times New Roman" w:hAnsi="Times New Roman" w:cs="Times New Roman"/>
                <w:shd w:val="clear" w:color="auto" w:fill="FFFFFF"/>
              </w:rPr>
              <w:t xml:space="preserve"> ț</w:t>
            </w:r>
            <w:r w:rsidRPr="00F4429F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intirea și poziționarea</w:t>
            </w:r>
            <w:r w:rsidR="00107078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;</w:t>
            </w:r>
          </w:p>
          <w:p w14:paraId="2EE34BF6" w14:textId="686477F2" w:rsidR="00107078" w:rsidRPr="00107078" w:rsidRDefault="00107078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6E5234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Strategii de marketing online </w:t>
            </w:r>
          </w:p>
          <w:p w14:paraId="50A1E857" w14:textId="5561DA81" w:rsidR="00F4429F" w:rsidRPr="00F4429F" w:rsidRDefault="00F4429F" w:rsidP="001070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r w:rsidRPr="00F4429F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Diferențierea prin crearea de branduri</w:t>
            </w:r>
          </w:p>
          <w:p w14:paraId="1F230496" w14:textId="77777777" w:rsidR="008F1F09" w:rsidRDefault="008F1F09" w:rsidP="00066103">
            <w:pPr>
              <w:rPr>
                <w:rFonts w:ascii="Times New Roman" w:hAnsi="Times New Roman" w:cs="Times New Roman"/>
                <w:lang w:val="ro-RO"/>
              </w:rPr>
            </w:pPr>
          </w:p>
          <w:p w14:paraId="6403D276" w14:textId="1D73A45E" w:rsidR="00066103" w:rsidRDefault="00066103" w:rsidP="0006610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Bibliografie;</w:t>
            </w:r>
          </w:p>
          <w:p w14:paraId="0FD29944" w14:textId="77777777" w:rsidR="00BB1DC1" w:rsidRPr="001D6F01" w:rsidRDefault="00BB1DC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>Otiman, I.P., Mateoc-Sîrb, N., Mănescu, C., 2013, Economie rurală, Editura Mirton, Timișoara;</w:t>
            </w:r>
          </w:p>
          <w:p w14:paraId="597EAFCD" w14:textId="77777777" w:rsidR="00BB1DC1" w:rsidRPr="001D6F01" w:rsidRDefault="00BB1DC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>Iancu Tiberiu, (2007), Economie agrară, Ed. Agroprint;</w:t>
            </w:r>
          </w:p>
          <w:p w14:paraId="34EF33FB" w14:textId="77777777" w:rsidR="00BB1DC1" w:rsidRPr="001D6F01" w:rsidRDefault="00BB1DC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eastAsia="Calibri" w:hAnsi="Times New Roman" w:cs="Times New Roman"/>
              </w:rPr>
              <w:t>Rusali, M.A., Dezvoltarea economică a ruralului în România.Concepte şi evaluări, ed. Digital Data, Cluj,2013;</w:t>
            </w:r>
          </w:p>
          <w:p w14:paraId="3E313AB7" w14:textId="24B5196E" w:rsidR="00066103" w:rsidRPr="001D6F01" w:rsidRDefault="00066103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>Chiciudean</w:t>
            </w:r>
            <w:r w:rsidR="008F1F09" w:rsidRPr="001D6F01">
              <w:rPr>
                <w:rFonts w:ascii="Times New Roman" w:hAnsi="Times New Roman" w:cs="Times New Roman"/>
                <w:color w:val="000000"/>
                <w:lang w:val="ro-RO"/>
              </w:rPr>
              <w:t>,</w:t>
            </w: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 xml:space="preserve"> G.</w:t>
            </w:r>
            <w:r w:rsidR="008F1F09" w:rsidRPr="001D6F01">
              <w:rPr>
                <w:rFonts w:ascii="Times New Roman" w:hAnsi="Times New Roman" w:cs="Times New Roman"/>
                <w:color w:val="000000"/>
                <w:lang w:val="ro-RO"/>
              </w:rPr>
              <w:t>,</w:t>
            </w: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 xml:space="preserve"> Chiciudean</w:t>
            </w:r>
            <w:r w:rsidR="008F1F09" w:rsidRPr="001D6F01">
              <w:rPr>
                <w:rFonts w:ascii="Times New Roman" w:hAnsi="Times New Roman" w:cs="Times New Roman"/>
                <w:color w:val="000000"/>
                <w:lang w:val="ro-RO"/>
              </w:rPr>
              <w:t>,</w:t>
            </w: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 xml:space="preserve"> D.</w:t>
            </w:r>
            <w:r w:rsidR="008F1F09" w:rsidRPr="001D6F01">
              <w:rPr>
                <w:rFonts w:ascii="Times New Roman" w:hAnsi="Times New Roman" w:cs="Times New Roman"/>
                <w:color w:val="000000"/>
                <w:lang w:val="ro-RO"/>
              </w:rPr>
              <w:t>, 2018</w:t>
            </w: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 xml:space="preserve">, Economie rurala, </w:t>
            </w:r>
            <w:r w:rsidR="008F1F09" w:rsidRPr="001D6F01">
              <w:rPr>
                <w:rFonts w:ascii="Times New Roman" w:hAnsi="Times New Roman" w:cs="Times New Roman"/>
                <w:color w:val="000000"/>
                <w:lang w:val="ro-RO"/>
              </w:rPr>
              <w:t>Editura</w:t>
            </w: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 xml:space="preserve"> Academicpres, </w:t>
            </w:r>
            <w:r w:rsidR="008F1F09" w:rsidRPr="001D6F01">
              <w:rPr>
                <w:rFonts w:ascii="Times New Roman" w:hAnsi="Times New Roman" w:cs="Times New Roman"/>
                <w:color w:val="000000"/>
                <w:lang w:val="ro-RO"/>
              </w:rPr>
              <w:t>Cluj-Napoca;</w:t>
            </w:r>
          </w:p>
          <w:p w14:paraId="01A6454B" w14:textId="46B2D98D" w:rsidR="00066103" w:rsidRPr="001D6F01" w:rsidRDefault="00066103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>Dona, I., 2010, Economie rurală, USAMV București</w:t>
            </w:r>
            <w:r w:rsidR="008F1F09" w:rsidRPr="001D6F01">
              <w:rPr>
                <w:rFonts w:ascii="Times New Roman" w:hAnsi="Times New Roman" w:cs="Times New Roman"/>
                <w:color w:val="000000"/>
                <w:lang w:val="ro-RO"/>
              </w:rPr>
              <w:t>;</w:t>
            </w:r>
          </w:p>
          <w:p w14:paraId="7C816800" w14:textId="77777777" w:rsidR="00066103" w:rsidRPr="001D6F01" w:rsidRDefault="00066103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>Angelescu, C., Ciucur, D., Dobrotă, N., Gavrilă, I., Ghiță, P.T., Popescu, C., Târhoacă, C., 2000, Economie-aplicații, ed. Economică, București</w:t>
            </w:r>
          </w:p>
          <w:p w14:paraId="3BA3865B" w14:textId="77777777" w:rsidR="00107078" w:rsidRPr="001D6F01" w:rsidRDefault="00066103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>Popescu Gabriel, Constantin Florentina, (2004), Economie și politică agrară: aplicații, Editura ASE;</w:t>
            </w:r>
          </w:p>
          <w:p w14:paraId="16B43875" w14:textId="52A46255" w:rsidR="00066103" w:rsidRPr="001D6F01" w:rsidRDefault="00066103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>Armstrong, G., Kotler, P., 2015</w:t>
            </w:r>
            <w:r w:rsidR="00107078" w:rsidRPr="001D6F01">
              <w:rPr>
                <w:rFonts w:ascii="Times New Roman" w:hAnsi="Times New Roman" w:cs="Times New Roman"/>
              </w:rPr>
              <w:t>,</w:t>
            </w:r>
            <w:r w:rsidRPr="001D6F01">
              <w:rPr>
                <w:rFonts w:ascii="Times New Roman" w:hAnsi="Times New Roman" w:cs="Times New Roman"/>
              </w:rPr>
              <w:t xml:space="preserve"> </w:t>
            </w:r>
            <w:r w:rsidRPr="001D6F01">
              <w:rPr>
                <w:rFonts w:ascii="Times New Roman" w:hAnsi="Times New Roman" w:cs="Times New Roman"/>
                <w:i/>
                <w:iCs/>
              </w:rPr>
              <w:t xml:space="preserve">Introducere în marketing, </w:t>
            </w:r>
            <w:r w:rsidRPr="001D6F01">
              <w:rPr>
                <w:rFonts w:ascii="Times New Roman" w:hAnsi="Times New Roman" w:cs="Times New Roman"/>
              </w:rPr>
              <w:t>Ediția a-XII-a, Pearson, New Jersey</w:t>
            </w:r>
          </w:p>
          <w:p w14:paraId="10ACB6BE" w14:textId="075D45B4" w:rsidR="00F4429F" w:rsidRPr="001D6F01" w:rsidRDefault="00F4429F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i/>
              </w:rPr>
              <w:t>Kotler Ph., Armstrong G.</w:t>
            </w:r>
            <w:r w:rsidR="00107078" w:rsidRPr="001D6F01">
              <w:rPr>
                <w:rFonts w:ascii="Times New Roman" w:hAnsi="Times New Roman" w:cs="Times New Roman"/>
                <w:i/>
              </w:rPr>
              <w:t>,</w:t>
            </w:r>
            <w:r w:rsidRPr="001D6F01">
              <w:rPr>
                <w:rFonts w:ascii="Times New Roman" w:hAnsi="Times New Roman" w:cs="Times New Roman"/>
                <w:i/>
              </w:rPr>
              <w:t xml:space="preserve"> 2008, Principiile marketingului, Editura Teora, Bucureşti;</w:t>
            </w:r>
          </w:p>
          <w:p w14:paraId="1D06A105" w14:textId="2047B04E" w:rsidR="00F4429F" w:rsidRPr="001D6F01" w:rsidRDefault="00F4429F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i/>
                <w:iCs/>
              </w:rPr>
              <w:t>Băbuț, R., Băcilă, M.F., Drule, A.M., Moisescu, O.I., 2014. Bazele marketingului, Risoprint, Cluj-Napoca</w:t>
            </w:r>
            <w:r w:rsidR="008F1F09" w:rsidRPr="001D6F01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33E7A478" w14:textId="64EF2CA8" w:rsidR="00066103" w:rsidRPr="001D6F01" w:rsidRDefault="008F1F09" w:rsidP="0006610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Blakett T., What is a Brand? in: Brands and Branding, Profile books Ltd., Londra, 2003.</w:t>
            </w:r>
          </w:p>
        </w:tc>
      </w:tr>
      <w:tr w:rsidR="001C5607" w14:paraId="6B9DEF25" w14:textId="77777777" w:rsidTr="002154B8">
        <w:tc>
          <w:tcPr>
            <w:tcW w:w="2123" w:type="dxa"/>
            <w:vMerge/>
            <w:vAlign w:val="center"/>
          </w:tcPr>
          <w:p w14:paraId="2AABCFF2" w14:textId="77777777" w:rsidR="001C5607" w:rsidRDefault="001C5607" w:rsidP="001C56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C553C60" w14:textId="77777777" w:rsidR="001C5607" w:rsidRPr="009C737C" w:rsidRDefault="001C5607" w:rsidP="001C560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8DF0F6" w14:textId="56BB02FD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T</w:t>
            </w:r>
            <w:r>
              <w:rPr>
                <w:rFonts w:ascii="Times New Roman" w:hAnsi="Times New Roman" w:cs="Times New Roman"/>
                <w:lang w:val="ro-RO"/>
              </w:rPr>
              <w:t>opics</w:t>
            </w:r>
            <w:r w:rsidRPr="001D6F01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0961D8C0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1. Sustainable development of the rural area;</w:t>
            </w:r>
          </w:p>
          <w:p w14:paraId="09C4E6E4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2. Methods of increasing the added value of agricultural/food products;</w:t>
            </w:r>
          </w:p>
          <w:p w14:paraId="61DA6196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3. The characteristics and structure of the rural economy in the main sectors of activity;</w:t>
            </w:r>
          </w:p>
          <w:p w14:paraId="11DEB081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4. Factors of production. Production costs;</w:t>
            </w:r>
          </w:p>
          <w:p w14:paraId="272605C1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5. Analysis of the use of agricultural production factors;</w:t>
            </w:r>
          </w:p>
          <w:p w14:paraId="78B77C20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6. Behavior of the producer of agricultural/food products</w:t>
            </w:r>
          </w:p>
          <w:p w14:paraId="3221CE9D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7. Consumer behavior of agricultural/food products;</w:t>
            </w:r>
          </w:p>
          <w:p w14:paraId="56002198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8. The company's marketing environment. Marketing environment analysis tools;</w:t>
            </w:r>
          </w:p>
          <w:p w14:paraId="5E15A5C6" w14:textId="1A30BDF1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9. The marketing mix. Product, Price, Place and Promotion;</w:t>
            </w:r>
          </w:p>
          <w:p w14:paraId="7F8589CC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10. Market and market research;</w:t>
            </w:r>
          </w:p>
          <w:p w14:paraId="41045464" w14:textId="77777777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11. Segmentation, targeting and positioning;</w:t>
            </w:r>
          </w:p>
          <w:p w14:paraId="5E264EC7" w14:textId="5AF378AD" w:rsidR="001D6F01" w:rsidRP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12. Online marketing strategies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00E3B91" w14:textId="4969728B" w:rsidR="001C5607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13. Differentiation through branding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6C8FA23" w14:textId="77777777" w:rsid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</w:p>
          <w:p w14:paraId="7EEA7B80" w14:textId="77777777" w:rsid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References:</w:t>
            </w:r>
          </w:p>
          <w:p w14:paraId="7EA42263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>Otiman, I.P., Mateoc-Sîrb, N., Mănescu, C., 2013, Economie rurală, Editura Mirton, Timișoara;</w:t>
            </w:r>
          </w:p>
          <w:p w14:paraId="79C82466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>Iancu Tiberiu, (2007), Economie agrară, Ed. Agroprint;</w:t>
            </w:r>
          </w:p>
          <w:p w14:paraId="0E2967C0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eastAsia="Calibri" w:hAnsi="Times New Roman" w:cs="Times New Roman"/>
              </w:rPr>
              <w:t>Rusali, M.A., Dezvoltarea economică a ruralului în România.Concepte şi evaluări, ed. Digital Data, Cluj,2013;</w:t>
            </w:r>
          </w:p>
          <w:p w14:paraId="657DEC9E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>Chiciudean, G., Chiciudean, D., 2018, Economie rurala, Editura Academicpres, Cluj-Napoca;</w:t>
            </w:r>
          </w:p>
          <w:p w14:paraId="2AEB4842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t>Dona, I., 2010, Economie rurală, USAMV București;</w:t>
            </w:r>
          </w:p>
          <w:p w14:paraId="1F3FE42B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color w:val="000000"/>
                <w:lang w:val="ro-RO"/>
              </w:rPr>
              <w:lastRenderedPageBreak/>
              <w:t>Angelescu, C., Ciucur, D., Dobrotă, N., Gavrilă, I., Ghiță, P.T., Popescu, C., Târhoacă, C., 2000, Economie-aplicații, ed. Economică, București</w:t>
            </w:r>
          </w:p>
          <w:p w14:paraId="71211771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>Popescu Gabriel, Constantin Florentina, (2004), Economie și politică agrară: aplicații, Editura ASE;</w:t>
            </w:r>
          </w:p>
          <w:p w14:paraId="1D8D3161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</w:rPr>
              <w:t xml:space="preserve">Armstrong, G., Kotler, P., 2015, </w:t>
            </w:r>
            <w:r w:rsidRPr="001D6F01">
              <w:rPr>
                <w:rFonts w:ascii="Times New Roman" w:hAnsi="Times New Roman" w:cs="Times New Roman"/>
                <w:i/>
                <w:iCs/>
              </w:rPr>
              <w:t xml:space="preserve">Introducere în marketing, </w:t>
            </w:r>
            <w:r w:rsidRPr="001D6F01">
              <w:rPr>
                <w:rFonts w:ascii="Times New Roman" w:hAnsi="Times New Roman" w:cs="Times New Roman"/>
              </w:rPr>
              <w:t>Ediția a-XII-a, Pearson, New Jersey</w:t>
            </w:r>
          </w:p>
          <w:p w14:paraId="4CAC1C4C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i/>
              </w:rPr>
              <w:t>Kotler Ph., Armstrong G., 2008, Principiile marketingului, Editura Teora, Bucureşti;</w:t>
            </w:r>
          </w:p>
          <w:p w14:paraId="01C66315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1D6F01">
              <w:rPr>
                <w:rFonts w:ascii="Times New Roman" w:hAnsi="Times New Roman" w:cs="Times New Roman"/>
                <w:i/>
                <w:iCs/>
              </w:rPr>
              <w:t>Băbuț, R., Băcilă, M.F., Drule, A.M., Moisescu, O.I., 2014. Bazele marketingului, Risoprint, Cluj-Napoca;</w:t>
            </w:r>
          </w:p>
          <w:p w14:paraId="32D3DD71" w14:textId="77777777" w:rsidR="001D6F01" w:rsidRPr="001D6F01" w:rsidRDefault="001D6F01" w:rsidP="001D6F0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1D6F01">
              <w:rPr>
                <w:rFonts w:ascii="Times New Roman" w:hAnsi="Times New Roman" w:cs="Times New Roman"/>
                <w:lang w:val="ro-RO"/>
              </w:rPr>
              <w:t>Blakett T., What is a Brand? in: Brands and Branding, Profile books Ltd., Londra, 2003.</w:t>
            </w:r>
          </w:p>
          <w:p w14:paraId="0CF9F0F7" w14:textId="277A760A" w:rsidR="001D6F01" w:rsidRDefault="001D6F01" w:rsidP="001D6F0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4EC6038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B340EE6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72C5D2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BFD9115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09B3A12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3A3CC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3B199B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3A520B54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8895BF2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899493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B9B08B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5AA3BBB" w14:textId="05233F50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263A5C">
        <w:rPr>
          <w:rFonts w:ascii="Times New Roman" w:hAnsi="Times New Roman" w:cs="Times New Roman"/>
          <w:lang w:val="ro-RO"/>
        </w:rPr>
        <w:t xml:space="preserve">                                                </w:t>
      </w:r>
      <w:r>
        <w:rPr>
          <w:rFonts w:ascii="Times New Roman" w:hAnsi="Times New Roman" w:cs="Times New Roman"/>
          <w:lang w:val="ro-RO"/>
        </w:rPr>
        <w:t>Director de Departament,</w:t>
      </w:r>
    </w:p>
    <w:p w14:paraId="2EC25A50" w14:textId="283D0C9F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</w:t>
      </w:r>
      <w:r w:rsidR="00263A5C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o-RO"/>
        </w:rPr>
        <w:t xml:space="preserve"> </w:t>
      </w:r>
      <w:r w:rsidR="00263A5C">
        <w:rPr>
          <w:rFonts w:ascii="Times New Roman" w:hAnsi="Times New Roman" w:cs="Times New Roman"/>
          <w:lang w:val="ro-RO"/>
        </w:rPr>
        <w:t xml:space="preserve">     </w:t>
      </w:r>
      <w:r>
        <w:rPr>
          <w:rFonts w:ascii="Times New Roman" w:hAnsi="Times New Roman" w:cs="Times New Roman"/>
          <w:lang w:val="ro-RO"/>
        </w:rPr>
        <w:t xml:space="preserve">  </w:t>
      </w:r>
      <w:r w:rsidR="00263A5C" w:rsidRPr="00E13C88">
        <w:rPr>
          <w:rFonts w:ascii="Times New Roman" w:hAnsi="Times New Roman" w:cs="Times New Roman"/>
          <w:b/>
          <w:lang w:val="ro-RO"/>
        </w:rPr>
        <w:t>Prof. Dr. Felix Arion</w:t>
      </w:r>
    </w:p>
    <w:p w14:paraId="710F7FA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AA2477E" w14:textId="57B239AC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263A5C">
        <w:rPr>
          <w:rFonts w:ascii="Times New Roman" w:hAnsi="Times New Roman" w:cs="Times New Roman"/>
          <w:lang w:val="ro-RO"/>
        </w:rPr>
        <w:t>18.10.2023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66B"/>
    <w:multiLevelType w:val="hybridMultilevel"/>
    <w:tmpl w:val="8D1E2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96882"/>
    <w:multiLevelType w:val="hybridMultilevel"/>
    <w:tmpl w:val="1C16E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180E"/>
    <w:multiLevelType w:val="hybridMultilevel"/>
    <w:tmpl w:val="67FA5A26"/>
    <w:lvl w:ilvl="0" w:tplc="FDA2F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52188"/>
    <w:multiLevelType w:val="hybridMultilevel"/>
    <w:tmpl w:val="2C9E00C6"/>
    <w:lvl w:ilvl="0" w:tplc="0409000F">
      <w:start w:val="1"/>
      <w:numFmt w:val="decimal"/>
      <w:lvlText w:val="%1."/>
      <w:lvlJc w:val="left"/>
      <w:pPr>
        <w:ind w:left="865" w:hanging="360"/>
      </w:p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D023037"/>
    <w:multiLevelType w:val="hybridMultilevel"/>
    <w:tmpl w:val="277A0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41077046"/>
    <w:multiLevelType w:val="hybridMultilevel"/>
    <w:tmpl w:val="9ECC93B4"/>
    <w:lvl w:ilvl="0" w:tplc="F8A8C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95B6C"/>
    <w:multiLevelType w:val="hybridMultilevel"/>
    <w:tmpl w:val="1C1A6CDC"/>
    <w:lvl w:ilvl="0" w:tplc="D65416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0103A"/>
    <w:multiLevelType w:val="hybridMultilevel"/>
    <w:tmpl w:val="651EA6D4"/>
    <w:lvl w:ilvl="0" w:tplc="569E4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54F9E"/>
    <w:multiLevelType w:val="hybridMultilevel"/>
    <w:tmpl w:val="8ABA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06F95"/>
    <w:multiLevelType w:val="hybridMultilevel"/>
    <w:tmpl w:val="FA74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F2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18"/>
  </w:num>
  <w:num w:numId="15">
    <w:abstractNumId w:val="10"/>
  </w:num>
  <w:num w:numId="16">
    <w:abstractNumId w:val="7"/>
  </w:num>
  <w:num w:numId="17">
    <w:abstractNumId w:val="20"/>
  </w:num>
  <w:num w:numId="18">
    <w:abstractNumId w:val="3"/>
  </w:num>
  <w:num w:numId="19">
    <w:abstractNumId w:val="2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1235C"/>
    <w:rsid w:val="00066103"/>
    <w:rsid w:val="00083924"/>
    <w:rsid w:val="00107078"/>
    <w:rsid w:val="0015520B"/>
    <w:rsid w:val="001C5607"/>
    <w:rsid w:val="001D6F01"/>
    <w:rsid w:val="0020756A"/>
    <w:rsid w:val="002154B8"/>
    <w:rsid w:val="00263A5C"/>
    <w:rsid w:val="002B2A3D"/>
    <w:rsid w:val="002B77E6"/>
    <w:rsid w:val="00372BFE"/>
    <w:rsid w:val="003A36E1"/>
    <w:rsid w:val="003A6597"/>
    <w:rsid w:val="003B29B6"/>
    <w:rsid w:val="003D0525"/>
    <w:rsid w:val="00457627"/>
    <w:rsid w:val="004765E5"/>
    <w:rsid w:val="0049486D"/>
    <w:rsid w:val="00551745"/>
    <w:rsid w:val="005922C0"/>
    <w:rsid w:val="005B4CE4"/>
    <w:rsid w:val="006722DE"/>
    <w:rsid w:val="00695BEA"/>
    <w:rsid w:val="006C3486"/>
    <w:rsid w:val="006C5C9E"/>
    <w:rsid w:val="006C6448"/>
    <w:rsid w:val="006D598F"/>
    <w:rsid w:val="00761B88"/>
    <w:rsid w:val="00781597"/>
    <w:rsid w:val="007F1F43"/>
    <w:rsid w:val="008056AD"/>
    <w:rsid w:val="00840B2B"/>
    <w:rsid w:val="008633CC"/>
    <w:rsid w:val="00874116"/>
    <w:rsid w:val="00880046"/>
    <w:rsid w:val="008C10A0"/>
    <w:rsid w:val="008F1F09"/>
    <w:rsid w:val="009832BE"/>
    <w:rsid w:val="009C737C"/>
    <w:rsid w:val="009E56F4"/>
    <w:rsid w:val="00A16C33"/>
    <w:rsid w:val="00A34598"/>
    <w:rsid w:val="00A76920"/>
    <w:rsid w:val="00A90A90"/>
    <w:rsid w:val="00A910A0"/>
    <w:rsid w:val="00A96406"/>
    <w:rsid w:val="00AB0E4A"/>
    <w:rsid w:val="00AF1D5D"/>
    <w:rsid w:val="00B35659"/>
    <w:rsid w:val="00B52F57"/>
    <w:rsid w:val="00B877CF"/>
    <w:rsid w:val="00B946F3"/>
    <w:rsid w:val="00BB1DC1"/>
    <w:rsid w:val="00BC4823"/>
    <w:rsid w:val="00BD4620"/>
    <w:rsid w:val="00BF24AE"/>
    <w:rsid w:val="00BF7FA5"/>
    <w:rsid w:val="00C06103"/>
    <w:rsid w:val="00C621BF"/>
    <w:rsid w:val="00C97671"/>
    <w:rsid w:val="00CC60E1"/>
    <w:rsid w:val="00CF416F"/>
    <w:rsid w:val="00D84087"/>
    <w:rsid w:val="00D87059"/>
    <w:rsid w:val="00DA0651"/>
    <w:rsid w:val="00DC55F9"/>
    <w:rsid w:val="00E34C32"/>
    <w:rsid w:val="00E54C3B"/>
    <w:rsid w:val="00E8015B"/>
    <w:rsid w:val="00F4429F"/>
    <w:rsid w:val="00FB6AF3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B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6103"/>
    <w:pPr>
      <w:keepNext/>
      <w:numPr>
        <w:numId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Heading2Char">
    <w:name w:val="Heading 2 Char"/>
    <w:basedOn w:val="DefaultParagraphFont"/>
    <w:link w:val="Heading2"/>
    <w:rsid w:val="00066103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">
    <w:name w:val="_"/>
    <w:basedOn w:val="DefaultParagraphFont"/>
    <w:rsid w:val="00F4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6103"/>
    <w:pPr>
      <w:keepNext/>
      <w:numPr>
        <w:numId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Heading2Char">
    <w:name w:val="Heading 2 Char"/>
    <w:basedOn w:val="DefaultParagraphFont"/>
    <w:link w:val="Heading2"/>
    <w:rsid w:val="00066103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">
    <w:name w:val="_"/>
    <w:basedOn w:val="DefaultParagraphFont"/>
    <w:rsid w:val="00F4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15CA-3966-4B57-BEA2-E73BC6D0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2023-10-19T14:50:00Z</dcterms:created>
  <dcterms:modified xsi:type="dcterms:W3CDTF">2023-10-19T14:50:00Z</dcterms:modified>
</cp:coreProperties>
</file>