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BE" w:rsidRPr="00786DBE" w:rsidRDefault="00786DBE" w:rsidP="00786DBE">
      <w:pPr>
        <w:jc w:val="center"/>
        <w:rPr>
          <w:rFonts w:ascii="Calibri" w:hAnsi="Calibri"/>
          <w:b/>
          <w:bCs/>
          <w:i/>
          <w:iCs/>
          <w:sz w:val="26"/>
          <w:szCs w:val="26"/>
        </w:rPr>
      </w:pPr>
      <w:bookmarkStart w:id="0" w:name="_Toc203040446"/>
      <w:r w:rsidRPr="00786DBE">
        <w:rPr>
          <w:rFonts w:ascii="Calibri" w:hAnsi="Calibri"/>
          <w:b/>
          <w:bCs/>
          <w:i/>
          <w:iCs/>
          <w:sz w:val="26"/>
          <w:szCs w:val="26"/>
        </w:rPr>
        <w:t>UNIVERSITY OF AGRICULTURAL SCIENCES AND VETERINARY MEDICINE CLUJ-NAPOCA</w:t>
      </w:r>
    </w:p>
    <w:p w:rsidR="00786DBE" w:rsidRPr="00786DBE" w:rsidRDefault="00786DBE" w:rsidP="00786DBE">
      <w:pPr>
        <w:jc w:val="center"/>
      </w:pPr>
      <w:r w:rsidRPr="00786DBE">
        <w:rPr>
          <w:rFonts w:ascii="Calibri" w:hAnsi="Calibri"/>
          <w:b/>
          <w:bCs/>
          <w:i/>
          <w:iCs/>
          <w:sz w:val="26"/>
          <w:szCs w:val="26"/>
        </w:rPr>
        <w:t>DOCTORAL SCHOOL OF VETERINARY MEDICAL SCIENCES</w:t>
      </w:r>
    </w:p>
    <w:p w:rsidR="00786DBE" w:rsidRPr="00786DBE" w:rsidRDefault="00786DBE" w:rsidP="00786DBE">
      <w:pPr>
        <w:spacing w:line="276" w:lineRule="auto"/>
        <w:rPr>
          <w:rFonts w:ascii="Arial" w:hAnsi="Arial" w:cs="Arial"/>
          <w:lang w:val="en-US"/>
        </w:rPr>
      </w:pPr>
    </w:p>
    <w:p w:rsidR="00786DBE" w:rsidRPr="00786DBE" w:rsidRDefault="00786DBE" w:rsidP="00786DBE">
      <w:pPr>
        <w:spacing w:line="276" w:lineRule="auto"/>
        <w:rPr>
          <w:rFonts w:ascii="Arial" w:hAnsi="Arial" w:cs="Arial"/>
          <w:lang w:val="en-US"/>
        </w:rPr>
      </w:pPr>
    </w:p>
    <w:p w:rsidR="00786DBE" w:rsidRPr="00786DBE" w:rsidRDefault="00786DBE" w:rsidP="00786DBE">
      <w:pPr>
        <w:spacing w:line="276" w:lineRule="auto"/>
        <w:rPr>
          <w:rFonts w:ascii="Arial" w:hAnsi="Arial" w:cs="Arial"/>
          <w:lang w:val="en-US"/>
        </w:rPr>
      </w:pPr>
    </w:p>
    <w:p w:rsidR="00786DBE" w:rsidRPr="00786DBE" w:rsidRDefault="00786DBE" w:rsidP="00786DBE">
      <w:pPr>
        <w:spacing w:line="276" w:lineRule="auto"/>
        <w:rPr>
          <w:rFonts w:ascii="Arial" w:hAnsi="Arial" w:cs="Arial"/>
          <w:lang w:val="en-US"/>
        </w:rPr>
      </w:pPr>
    </w:p>
    <w:p w:rsidR="00786DBE" w:rsidRPr="00786DBE" w:rsidRDefault="00786DBE" w:rsidP="00786DBE">
      <w:pPr>
        <w:spacing w:line="276" w:lineRule="auto"/>
        <w:rPr>
          <w:rFonts w:ascii="Arial" w:hAnsi="Arial" w:cs="Arial"/>
          <w:lang w:val="en-US"/>
        </w:rPr>
      </w:pPr>
    </w:p>
    <w:p w:rsidR="00786DBE" w:rsidRPr="00786DBE" w:rsidRDefault="00786DBE" w:rsidP="00786DBE">
      <w:pPr>
        <w:spacing w:line="276" w:lineRule="auto"/>
        <w:rPr>
          <w:rFonts w:ascii="Arial" w:hAnsi="Arial" w:cs="Arial"/>
          <w:lang w:val="en-US"/>
        </w:rPr>
      </w:pPr>
    </w:p>
    <w:p w:rsidR="00786DBE" w:rsidRPr="00786DBE" w:rsidRDefault="00786DBE" w:rsidP="00786DBE">
      <w:pPr>
        <w:spacing w:line="276" w:lineRule="auto"/>
        <w:rPr>
          <w:rFonts w:ascii="Arial" w:hAnsi="Arial" w:cs="Arial"/>
          <w:lang w:val="en-US"/>
        </w:rPr>
      </w:pPr>
      <w:r w:rsidRPr="00786DBE">
        <w:rPr>
          <w:rFonts w:ascii="Arial" w:hAnsi="Arial" w:cs="Arial"/>
          <w:noProof/>
          <w:sz w:val="28"/>
          <w:szCs w:val="28"/>
          <w:lang w:val="en-US"/>
        </w:rPr>
        <mc:AlternateContent>
          <mc:Choice Requires="wps">
            <w:drawing>
              <wp:anchor distT="4294967295" distB="4294967295" distL="114300" distR="114300" simplePos="0" relativeHeight="251662336" behindDoc="0" locked="0" layoutInCell="1" allowOverlap="1" wp14:anchorId="17B91AC7" wp14:editId="33450DE0">
                <wp:simplePos x="0" y="0"/>
                <wp:positionH relativeFrom="column">
                  <wp:posOffset>0</wp:posOffset>
                </wp:positionH>
                <wp:positionV relativeFrom="paragraph">
                  <wp:posOffset>89534</wp:posOffset>
                </wp:positionV>
                <wp:extent cx="4572000" cy="0"/>
                <wp:effectExtent l="0" t="0" r="19050" b="19050"/>
                <wp:wrapNone/>
                <wp:docPr id="1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05pt" to="5in,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2b/EQIAACs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" strokeweight="1pt"/>
            </w:pict>
          </mc:Fallback>
        </mc:AlternateContent>
      </w:r>
    </w:p>
    <w:p w:rsidR="00786DBE" w:rsidRPr="00786DBE" w:rsidRDefault="00786DBE" w:rsidP="00786DBE">
      <w:pPr>
        <w:spacing w:line="276" w:lineRule="auto"/>
        <w:rPr>
          <w:rFonts w:ascii="Arial" w:hAnsi="Arial" w:cs="Arial"/>
          <w:b/>
          <w:lang w:val="en-US"/>
        </w:rPr>
      </w:pPr>
      <w:r w:rsidRPr="00786DBE">
        <w:rPr>
          <w:rFonts w:ascii="Arial" w:hAnsi="Arial" w:cs="Arial"/>
          <w:b/>
          <w:lang w:val="en-US"/>
        </w:rPr>
        <w:t>HABILITATION THESIS</w:t>
      </w:r>
      <w:r>
        <w:rPr>
          <w:rFonts w:ascii="Arial" w:hAnsi="Arial" w:cs="Arial"/>
          <w:b/>
          <w:lang w:val="en-US"/>
        </w:rPr>
        <w:t xml:space="preserve"> ABSTRACT</w:t>
      </w:r>
    </w:p>
    <w:p w:rsidR="00786DBE" w:rsidRPr="00786DBE" w:rsidRDefault="00786DBE" w:rsidP="00786DBE">
      <w:pPr>
        <w:spacing w:line="276" w:lineRule="auto"/>
        <w:rPr>
          <w:rFonts w:ascii="Arial" w:hAnsi="Arial" w:cs="Arial"/>
          <w:b/>
          <w:lang w:val="en-US"/>
        </w:rPr>
      </w:pPr>
    </w:p>
    <w:p w:rsidR="00786DBE" w:rsidRDefault="00786DBE" w:rsidP="00786DBE">
      <w:pPr>
        <w:spacing w:line="276" w:lineRule="auto"/>
        <w:jc w:val="both"/>
        <w:rPr>
          <w:rFonts w:ascii="Arial" w:hAnsi="Arial" w:cs="Arial"/>
          <w:b/>
          <w:lang w:val="en-US"/>
        </w:rPr>
      </w:pPr>
      <w:r w:rsidRPr="00786DBE">
        <w:rPr>
          <w:rFonts w:ascii="Arial" w:hAnsi="Arial" w:cs="Arial"/>
          <w:b/>
          <w:lang w:val="en-US"/>
        </w:rPr>
        <w:t xml:space="preserve">The Food Chain as a Reservoir of Resistant Pathogens: </w:t>
      </w:r>
    </w:p>
    <w:p w:rsidR="00786DBE" w:rsidRPr="00786DBE" w:rsidRDefault="00786DBE" w:rsidP="00786DBE">
      <w:pPr>
        <w:spacing w:line="276" w:lineRule="auto"/>
        <w:jc w:val="both"/>
        <w:rPr>
          <w:rFonts w:ascii="Arial" w:hAnsi="Arial" w:cs="Arial"/>
          <w:b/>
          <w:lang w:val="en-US"/>
        </w:rPr>
      </w:pPr>
      <w:r w:rsidRPr="00786DBE">
        <w:rPr>
          <w:rFonts w:ascii="Arial" w:hAnsi="Arial" w:cs="Arial"/>
          <w:b/>
          <w:lang w:val="en-US"/>
        </w:rPr>
        <w:t>Insights into Prevalence and Risk Assessment Needs</w:t>
      </w:r>
    </w:p>
    <w:p w:rsidR="00786DBE" w:rsidRPr="00786DBE" w:rsidRDefault="00786DBE" w:rsidP="00786DBE">
      <w:pPr>
        <w:spacing w:line="276" w:lineRule="auto"/>
        <w:rPr>
          <w:lang w:val="en-US"/>
        </w:rPr>
      </w:pPr>
    </w:p>
    <w:p w:rsidR="00786DBE" w:rsidRPr="00786DBE" w:rsidRDefault="00786DBE" w:rsidP="00786DBE">
      <w:pPr>
        <w:spacing w:line="276" w:lineRule="auto"/>
        <w:rPr>
          <w:rFonts w:ascii="Arial" w:hAnsi="Arial" w:cs="Arial"/>
          <w:lang w:val="en-US"/>
        </w:rPr>
      </w:pPr>
      <w:r w:rsidRPr="00786DBE">
        <w:rPr>
          <w:rFonts w:ascii="Arial" w:hAnsi="Arial" w:cs="Arial"/>
          <w:noProof/>
          <w:lang w:val="en-US"/>
        </w:rPr>
        <mc:AlternateContent>
          <mc:Choice Requires="wps">
            <w:drawing>
              <wp:anchor distT="4294967295" distB="4294967295" distL="114300" distR="114300" simplePos="0" relativeHeight="251659264" behindDoc="0" locked="0" layoutInCell="1" allowOverlap="1" wp14:anchorId="7B320C15" wp14:editId="4A068D4C">
                <wp:simplePos x="0" y="0"/>
                <wp:positionH relativeFrom="column">
                  <wp:posOffset>0</wp:posOffset>
                </wp:positionH>
                <wp:positionV relativeFrom="paragraph">
                  <wp:posOffset>45719</wp:posOffset>
                </wp:positionV>
                <wp:extent cx="4572000" cy="0"/>
                <wp:effectExtent l="0" t="0" r="19050" b="19050"/>
                <wp:wrapNone/>
                <wp:docPr id="1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pt" to="5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I1EQIAACs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" strokeweight="1pt"/>
            </w:pict>
          </mc:Fallback>
        </mc:AlternateContent>
      </w:r>
    </w:p>
    <w:p w:rsidR="00786DBE" w:rsidRPr="00786DBE" w:rsidRDefault="00786DBE" w:rsidP="00786DBE">
      <w:pPr>
        <w:spacing w:line="276" w:lineRule="auto"/>
        <w:rPr>
          <w:rFonts w:ascii="Arial" w:hAnsi="Arial" w:cs="Arial"/>
          <w:b/>
          <w:lang w:val="en-US"/>
        </w:rPr>
      </w:pPr>
      <w:r w:rsidRPr="00786DBE">
        <w:rPr>
          <w:rFonts w:ascii="Arial" w:hAnsi="Arial" w:cs="Arial"/>
          <w:lang w:val="en-US"/>
        </w:rPr>
        <w:t xml:space="preserve">Domain: </w:t>
      </w:r>
      <w:r w:rsidRPr="00786DBE">
        <w:rPr>
          <w:rFonts w:ascii="Arial" w:hAnsi="Arial" w:cs="Arial"/>
          <w:b/>
          <w:lang w:val="en-US"/>
        </w:rPr>
        <w:t>VETERINARY MEDICINE</w:t>
      </w:r>
    </w:p>
    <w:p w:rsidR="00786DBE" w:rsidRPr="00786DBE" w:rsidRDefault="00786DBE" w:rsidP="00786DBE">
      <w:pPr>
        <w:spacing w:line="276" w:lineRule="auto"/>
        <w:rPr>
          <w:lang w:val="en-US"/>
        </w:rPr>
      </w:pPr>
      <w:r w:rsidRPr="00786DBE">
        <w:rPr>
          <w:rFonts w:ascii="Arial" w:hAnsi="Arial" w:cs="Arial"/>
          <w:noProof/>
          <w:lang w:val="en-US"/>
        </w:rPr>
        <mc:AlternateContent>
          <mc:Choice Requires="wps">
            <w:drawing>
              <wp:anchor distT="4294967295" distB="4294967295" distL="114300" distR="114300" simplePos="0" relativeHeight="251660288" behindDoc="0" locked="0" layoutInCell="1" allowOverlap="1" wp14:anchorId="78676643" wp14:editId="31CB0763">
                <wp:simplePos x="0" y="0"/>
                <wp:positionH relativeFrom="column">
                  <wp:posOffset>0</wp:posOffset>
                </wp:positionH>
                <wp:positionV relativeFrom="paragraph">
                  <wp:posOffset>32384</wp:posOffset>
                </wp:positionV>
                <wp:extent cx="4572000" cy="0"/>
                <wp:effectExtent l="0" t="0" r="19050" b="19050"/>
                <wp:wrapNone/>
                <wp:docPr id="1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pt" to="5in,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6REQIAACs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" strokeweight="1pt"/>
            </w:pict>
          </mc:Fallback>
        </mc:AlternateContent>
      </w:r>
    </w:p>
    <w:p w:rsidR="00786DBE" w:rsidRPr="00786DBE" w:rsidRDefault="00786DBE" w:rsidP="00786DBE">
      <w:pPr>
        <w:spacing w:line="276" w:lineRule="auto"/>
        <w:rPr>
          <w:rFonts w:ascii="Arial" w:hAnsi="Arial" w:cs="Arial"/>
          <w:b/>
          <w:lang w:val="en-US"/>
        </w:rPr>
      </w:pPr>
      <w:r w:rsidRPr="00786DBE">
        <w:rPr>
          <w:rFonts w:ascii="Arial" w:hAnsi="Arial" w:cs="Arial"/>
          <w:lang w:val="en-US"/>
        </w:rPr>
        <w:t xml:space="preserve">Author:  </w:t>
      </w:r>
      <w:r w:rsidRPr="00786DBE">
        <w:rPr>
          <w:rFonts w:ascii="Arial" w:hAnsi="Arial" w:cs="Arial"/>
          <w:b/>
          <w:lang w:val="en-US"/>
        </w:rPr>
        <w:t>TĂBĂRAN ALEXANDRA</w:t>
      </w:r>
    </w:p>
    <w:p w:rsidR="00786DBE" w:rsidRPr="00786DBE" w:rsidRDefault="00786DBE" w:rsidP="00786DBE">
      <w:pPr>
        <w:spacing w:line="276" w:lineRule="auto"/>
        <w:rPr>
          <w:rFonts w:ascii="Arial" w:hAnsi="Arial" w:cs="Arial"/>
          <w:b/>
          <w:sz w:val="28"/>
          <w:szCs w:val="28"/>
          <w:lang w:val="en-US"/>
        </w:rPr>
      </w:pPr>
      <w:r w:rsidRPr="00786DBE">
        <w:rPr>
          <w:rFonts w:ascii="Arial" w:hAnsi="Arial" w:cs="Arial"/>
          <w:noProof/>
          <w:sz w:val="28"/>
          <w:szCs w:val="28"/>
          <w:lang w:val="en-US"/>
        </w:rPr>
        <mc:AlternateContent>
          <mc:Choice Requires="wps">
            <w:drawing>
              <wp:anchor distT="4294967295" distB="4294967295" distL="114300" distR="114300" simplePos="0" relativeHeight="251661312" behindDoc="0" locked="0" layoutInCell="1" allowOverlap="1" wp14:anchorId="54E71BEF" wp14:editId="412777CA">
                <wp:simplePos x="0" y="0"/>
                <wp:positionH relativeFrom="column">
                  <wp:posOffset>0</wp:posOffset>
                </wp:positionH>
                <wp:positionV relativeFrom="paragraph">
                  <wp:posOffset>66039</wp:posOffset>
                </wp:positionV>
                <wp:extent cx="4572000" cy="0"/>
                <wp:effectExtent l="0" t="0" r="19050" b="19050"/>
                <wp:wrapNone/>
                <wp:docPr id="1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2pt" to="5in,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M71EQIAACsEAAAOAAAAZHJzL2Uyb0RvYy54bWysU8GO2jAQvVfqP1i+QxKa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" strokeweight="1pt"/>
            </w:pict>
          </mc:Fallback>
        </mc:AlternateContent>
      </w:r>
    </w:p>
    <w:p w:rsidR="00786DBE" w:rsidRPr="00786DBE" w:rsidRDefault="00786DBE" w:rsidP="00786DBE">
      <w:pPr>
        <w:spacing w:line="276" w:lineRule="auto"/>
        <w:rPr>
          <w:rFonts w:ascii="Arial" w:hAnsi="Arial" w:cs="Arial"/>
          <w:b/>
          <w:sz w:val="28"/>
          <w:szCs w:val="28"/>
          <w:lang w:val="en-US"/>
        </w:rPr>
      </w:pPr>
    </w:p>
    <w:p w:rsidR="00786DBE" w:rsidRPr="00786DBE" w:rsidRDefault="00786DBE" w:rsidP="00786DBE">
      <w:pPr>
        <w:spacing w:line="276" w:lineRule="auto"/>
        <w:rPr>
          <w:rFonts w:ascii="Arial" w:hAnsi="Arial" w:cs="Arial"/>
          <w:b/>
          <w:sz w:val="28"/>
          <w:szCs w:val="28"/>
          <w:lang w:val="en-US"/>
        </w:rPr>
      </w:pPr>
    </w:p>
    <w:p w:rsidR="00786DBE" w:rsidRPr="00786DBE" w:rsidRDefault="00786DBE" w:rsidP="00786DBE">
      <w:pPr>
        <w:spacing w:line="276" w:lineRule="auto"/>
        <w:rPr>
          <w:rFonts w:ascii="Arial" w:hAnsi="Arial" w:cs="Arial"/>
          <w:lang w:val="en-US"/>
        </w:rPr>
      </w:pPr>
      <w:r w:rsidRPr="00786DBE">
        <w:rPr>
          <w:rFonts w:ascii="Arial" w:hAnsi="Arial" w:cs="Arial"/>
          <w:b/>
          <w:sz w:val="28"/>
          <w:szCs w:val="28"/>
          <w:lang w:val="en-US"/>
        </w:rPr>
        <w:tab/>
      </w:r>
      <w:r w:rsidRPr="00786DBE">
        <w:rPr>
          <w:rFonts w:ascii="Arial" w:hAnsi="Arial" w:cs="Arial"/>
          <w:b/>
          <w:sz w:val="28"/>
          <w:szCs w:val="28"/>
          <w:lang w:val="en-US"/>
        </w:rPr>
        <w:tab/>
      </w:r>
      <w:r w:rsidRPr="00786DBE">
        <w:rPr>
          <w:rFonts w:ascii="Arial" w:hAnsi="Arial" w:cs="Arial"/>
          <w:b/>
          <w:sz w:val="28"/>
          <w:szCs w:val="28"/>
          <w:lang w:val="en-US"/>
        </w:rPr>
        <w:tab/>
      </w:r>
      <w:r w:rsidRPr="00786DBE">
        <w:rPr>
          <w:rFonts w:ascii="Arial" w:hAnsi="Arial" w:cs="Arial"/>
          <w:b/>
          <w:sz w:val="28"/>
          <w:szCs w:val="28"/>
          <w:lang w:val="en-US"/>
        </w:rPr>
        <w:tab/>
      </w:r>
      <w:r w:rsidRPr="00786DBE">
        <w:rPr>
          <w:rFonts w:ascii="Arial" w:hAnsi="Arial" w:cs="Arial"/>
          <w:b/>
          <w:sz w:val="28"/>
          <w:szCs w:val="28"/>
          <w:lang w:val="en-US"/>
        </w:rPr>
        <w:tab/>
      </w:r>
      <w:r w:rsidRPr="00786DBE">
        <w:rPr>
          <w:rFonts w:ascii="Arial" w:hAnsi="Arial" w:cs="Arial"/>
          <w:b/>
          <w:sz w:val="28"/>
          <w:szCs w:val="28"/>
          <w:lang w:val="en-US"/>
        </w:rPr>
        <w:tab/>
      </w:r>
      <w:r w:rsidRPr="00786DBE">
        <w:rPr>
          <w:rFonts w:ascii="Arial" w:hAnsi="Arial" w:cs="Arial"/>
          <w:b/>
          <w:sz w:val="28"/>
          <w:szCs w:val="28"/>
          <w:lang w:val="en-US"/>
        </w:rPr>
        <w:tab/>
      </w:r>
      <w:r w:rsidRPr="00786DBE">
        <w:rPr>
          <w:rFonts w:ascii="Arial" w:hAnsi="Arial" w:cs="Arial"/>
          <w:b/>
          <w:sz w:val="28"/>
          <w:szCs w:val="28"/>
          <w:lang w:val="en-US"/>
        </w:rPr>
        <w:tab/>
        <w:t xml:space="preserve">    </w:t>
      </w:r>
      <w:r w:rsidRPr="00786DBE">
        <w:rPr>
          <w:rFonts w:ascii="Arial" w:hAnsi="Arial" w:cs="Arial"/>
          <w:b/>
          <w:lang w:val="en-US"/>
        </w:rPr>
        <w:t xml:space="preserve"> </w:t>
      </w:r>
    </w:p>
    <w:p w:rsidR="00786DBE" w:rsidRPr="00786DBE" w:rsidRDefault="00786DBE" w:rsidP="00786DBE">
      <w:pPr>
        <w:spacing w:line="276" w:lineRule="auto"/>
        <w:rPr>
          <w:rFonts w:ascii="Arial" w:hAnsi="Arial" w:cs="Arial"/>
          <w:lang w:val="en-US"/>
        </w:rPr>
      </w:pPr>
      <w:r w:rsidRPr="00786DBE">
        <w:rPr>
          <w:rFonts w:ascii="Arial" w:hAnsi="Arial" w:cs="Arial"/>
          <w:lang w:val="en-US"/>
        </w:rPr>
        <w:tab/>
      </w:r>
      <w:r w:rsidRPr="00786DBE">
        <w:rPr>
          <w:rFonts w:ascii="Arial" w:hAnsi="Arial" w:cs="Arial"/>
          <w:lang w:val="en-US"/>
        </w:rPr>
        <w:tab/>
      </w:r>
      <w:r w:rsidRPr="00786DBE">
        <w:rPr>
          <w:rFonts w:ascii="Arial" w:hAnsi="Arial" w:cs="Arial"/>
          <w:lang w:val="en-US"/>
        </w:rPr>
        <w:tab/>
      </w:r>
      <w:r w:rsidRPr="00786DBE">
        <w:rPr>
          <w:rFonts w:ascii="Arial" w:hAnsi="Arial" w:cs="Arial"/>
          <w:lang w:val="en-US"/>
        </w:rPr>
        <w:tab/>
      </w:r>
      <w:r w:rsidRPr="00786DBE">
        <w:rPr>
          <w:rFonts w:ascii="Arial" w:hAnsi="Arial" w:cs="Arial"/>
          <w:lang w:val="en-US"/>
        </w:rPr>
        <w:tab/>
      </w:r>
      <w:r w:rsidRPr="00786DBE">
        <w:rPr>
          <w:rFonts w:ascii="Arial" w:hAnsi="Arial" w:cs="Arial"/>
          <w:lang w:val="en-US"/>
        </w:rPr>
        <w:tab/>
      </w:r>
    </w:p>
    <w:p w:rsidR="00786DBE" w:rsidRPr="00786DBE" w:rsidRDefault="00786DBE" w:rsidP="00786DBE">
      <w:pPr>
        <w:spacing w:line="276" w:lineRule="auto"/>
        <w:rPr>
          <w:lang w:val="en-US"/>
        </w:rPr>
      </w:pPr>
    </w:p>
    <w:p w:rsidR="00786DBE" w:rsidRPr="00786DBE" w:rsidRDefault="00786DBE" w:rsidP="00786DBE">
      <w:pPr>
        <w:spacing w:line="276" w:lineRule="auto"/>
        <w:rPr>
          <w:lang w:val="en-US"/>
        </w:rPr>
      </w:pPr>
      <w:r w:rsidRPr="00786DBE">
        <w:rPr>
          <w:rFonts w:ascii="Arial" w:hAnsi="Arial" w:cs="Arial"/>
          <w:b/>
          <w:noProof/>
          <w:sz w:val="28"/>
          <w:szCs w:val="28"/>
          <w:lang w:val="en-US"/>
        </w:rPr>
        <w:drawing>
          <wp:anchor distT="0" distB="0" distL="114300" distR="114300" simplePos="0" relativeHeight="251663360" behindDoc="0" locked="0" layoutInCell="1" allowOverlap="1" wp14:anchorId="222B63AA" wp14:editId="759B3E15">
            <wp:simplePos x="0" y="0"/>
            <wp:positionH relativeFrom="column">
              <wp:posOffset>3712845</wp:posOffset>
            </wp:positionH>
            <wp:positionV relativeFrom="paragraph">
              <wp:posOffset>62230</wp:posOffset>
            </wp:positionV>
            <wp:extent cx="859155" cy="822325"/>
            <wp:effectExtent l="0" t="0" r="0" b="0"/>
            <wp:wrapSquare wrapText="bothSides"/>
            <wp:docPr id="1" name="Picture 5" descr="Description: http://www.usamvcluj.ro/images/sigle/usamv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www.usamvcluj.ro/images/sigle/usamv_colo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9155" cy="822325"/>
                    </a:xfrm>
                    <a:prstGeom prst="rect">
                      <a:avLst/>
                    </a:prstGeom>
                    <a:noFill/>
                    <a:ln>
                      <a:noFill/>
                    </a:ln>
                  </pic:spPr>
                </pic:pic>
              </a:graphicData>
            </a:graphic>
          </wp:anchor>
        </w:drawing>
      </w:r>
    </w:p>
    <w:p w:rsidR="00786DBE" w:rsidRPr="00786DBE" w:rsidRDefault="00786DBE" w:rsidP="00786DBE">
      <w:pPr>
        <w:spacing w:line="276" w:lineRule="auto"/>
        <w:rPr>
          <w:lang w:val="en-US"/>
        </w:rPr>
      </w:pPr>
    </w:p>
    <w:p w:rsidR="00786DBE" w:rsidRPr="00786DBE" w:rsidRDefault="00786DBE" w:rsidP="00786DBE">
      <w:pPr>
        <w:spacing w:line="276" w:lineRule="auto"/>
        <w:rPr>
          <w:lang w:val="en-US"/>
        </w:rPr>
      </w:pPr>
    </w:p>
    <w:p w:rsidR="00786DBE" w:rsidRPr="00786DBE" w:rsidRDefault="00786DBE" w:rsidP="00786DBE">
      <w:pPr>
        <w:spacing w:line="276" w:lineRule="auto"/>
        <w:rPr>
          <w:lang w:val="en-US"/>
        </w:rPr>
      </w:pPr>
    </w:p>
    <w:p w:rsidR="00786DBE" w:rsidRPr="00786DBE" w:rsidRDefault="00786DBE" w:rsidP="00786DBE">
      <w:pPr>
        <w:spacing w:line="276" w:lineRule="auto"/>
        <w:rPr>
          <w:lang w:val="en-US"/>
        </w:rPr>
      </w:pPr>
    </w:p>
    <w:p w:rsidR="00786DBE" w:rsidRPr="00786DBE" w:rsidRDefault="00786DBE" w:rsidP="00786DBE">
      <w:pPr>
        <w:spacing w:line="276" w:lineRule="auto"/>
        <w:rPr>
          <w:lang w:val="en-US"/>
        </w:rPr>
      </w:pPr>
    </w:p>
    <w:p w:rsidR="00786DBE" w:rsidRPr="00786DBE" w:rsidRDefault="00786DBE" w:rsidP="00786DBE">
      <w:pPr>
        <w:spacing w:line="276" w:lineRule="auto"/>
        <w:rPr>
          <w:lang w:val="en-US"/>
        </w:rPr>
      </w:pPr>
    </w:p>
    <w:p w:rsidR="00786DBE" w:rsidRPr="00786DBE" w:rsidRDefault="00786DBE" w:rsidP="00786DBE">
      <w:pPr>
        <w:spacing w:line="276" w:lineRule="auto"/>
        <w:jc w:val="center"/>
        <w:rPr>
          <w:rFonts w:cs="Calibri"/>
          <w:lang w:val="en-US"/>
        </w:rPr>
      </w:pPr>
      <w:r w:rsidRPr="00786DBE">
        <w:rPr>
          <w:rFonts w:cs="Calibri"/>
          <w:lang w:val="en-US"/>
        </w:rPr>
        <w:t>Cluj-Napoca</w:t>
      </w:r>
    </w:p>
    <w:p w:rsidR="00786DBE" w:rsidRPr="00786DBE" w:rsidRDefault="00786DBE" w:rsidP="00786DBE">
      <w:pPr>
        <w:spacing w:line="276" w:lineRule="auto"/>
        <w:jc w:val="center"/>
        <w:rPr>
          <w:rFonts w:cs="Calibri"/>
          <w:lang w:val="en-US"/>
        </w:rPr>
      </w:pPr>
      <w:r w:rsidRPr="00786DBE">
        <w:rPr>
          <w:rFonts w:cs="Calibri"/>
          <w:lang w:val="en-US"/>
        </w:rPr>
        <w:t>2025</w:t>
      </w:r>
    </w:p>
    <w:p w:rsidR="00786DBE" w:rsidRPr="00786DBE" w:rsidRDefault="00786DBE" w:rsidP="00786DBE">
      <w:pPr>
        <w:keepNext/>
        <w:keepLines/>
        <w:spacing w:before="480" w:line="276" w:lineRule="auto"/>
        <w:jc w:val="center"/>
        <w:outlineLvl w:val="0"/>
        <w:rPr>
          <w:rFonts w:asciiTheme="majorHAnsi" w:eastAsiaTheme="majorEastAsia" w:hAnsiTheme="majorHAnsi" w:cstheme="majorBidi"/>
          <w:b/>
          <w:bCs/>
          <w:sz w:val="28"/>
          <w:szCs w:val="28"/>
          <w:lang w:val="en-US"/>
        </w:rPr>
      </w:pPr>
      <w:r w:rsidRPr="00786DBE">
        <w:rPr>
          <w:rFonts w:asciiTheme="majorHAnsi" w:eastAsiaTheme="majorEastAsia" w:hAnsiTheme="majorHAnsi" w:cstheme="majorBidi"/>
          <w:b/>
          <w:bCs/>
          <w:sz w:val="28"/>
          <w:szCs w:val="28"/>
          <w:lang w:val="en-US"/>
        </w:rPr>
        <w:lastRenderedPageBreak/>
        <w:t>ABSTRACT</w:t>
      </w:r>
      <w:bookmarkEnd w:id="0"/>
    </w:p>
    <w:p w:rsidR="00786DBE" w:rsidRPr="00786DBE" w:rsidRDefault="00786DBE" w:rsidP="00786DBE">
      <w:pPr>
        <w:spacing w:after="200" w:line="360" w:lineRule="auto"/>
        <w:jc w:val="both"/>
        <w:rPr>
          <w:rFonts w:asciiTheme="majorHAnsi" w:eastAsiaTheme="minorHAnsi" w:hAnsiTheme="majorHAnsi" w:cstheme="minorBidi"/>
          <w:sz w:val="20"/>
          <w:szCs w:val="20"/>
          <w:lang w:val="en-US"/>
        </w:rPr>
      </w:pPr>
    </w:p>
    <w:p w:rsidR="00786DBE" w:rsidRPr="00786DBE" w:rsidRDefault="00786DBE" w:rsidP="00786DBE">
      <w:pPr>
        <w:spacing w:after="200" w:line="360" w:lineRule="auto"/>
        <w:ind w:firstLine="540"/>
        <w:jc w:val="both"/>
        <w:rPr>
          <w:rFonts w:asciiTheme="majorHAnsi" w:eastAsiaTheme="minorHAnsi" w:hAnsiTheme="majorHAnsi" w:cstheme="minorBidi"/>
          <w:i/>
          <w:sz w:val="20"/>
          <w:szCs w:val="20"/>
          <w:lang w:val="en-US"/>
        </w:rPr>
      </w:pPr>
      <w:r w:rsidRPr="00786DBE">
        <w:rPr>
          <w:rFonts w:asciiTheme="majorHAnsi" w:eastAsiaTheme="minorHAnsi" w:hAnsiTheme="majorHAnsi" w:cstheme="minorBidi"/>
          <w:i/>
          <w:sz w:val="20"/>
          <w:szCs w:val="20"/>
          <w:lang w:val="en-US"/>
        </w:rPr>
        <w:t>Chapter 1 – Introduction, Scientific Visibility, Aim of Research and Prestige</w:t>
      </w:r>
    </w:p>
    <w:p w:rsidR="00786DBE" w:rsidRPr="00786DBE" w:rsidRDefault="00786DBE" w:rsidP="00786DBE">
      <w:pPr>
        <w:spacing w:line="360" w:lineRule="auto"/>
        <w:ind w:firstLine="540"/>
        <w:jc w:val="both"/>
        <w:rPr>
          <w:rFonts w:asciiTheme="majorHAnsi" w:eastAsiaTheme="minorHAnsi" w:hAnsiTheme="majorHAnsi" w:cstheme="minorBidi"/>
          <w:sz w:val="20"/>
          <w:szCs w:val="20"/>
          <w:lang w:val="en-US"/>
        </w:rPr>
      </w:pPr>
      <w:r w:rsidRPr="00786DBE">
        <w:rPr>
          <w:rFonts w:asciiTheme="majorHAnsi" w:eastAsiaTheme="minorHAnsi" w:hAnsiTheme="majorHAnsi" w:cstheme="minorBidi"/>
          <w:sz w:val="20"/>
          <w:szCs w:val="20"/>
          <w:lang w:val="en-US"/>
        </w:rPr>
        <w:t xml:space="preserve">This thesis explores a deeply important and timely issue: the food chain as a vehicle for antimicrobial-resistant pathogens. Dr. Alexandra </w:t>
      </w:r>
      <w:proofErr w:type="spellStart"/>
      <w:r w:rsidRPr="00786DBE">
        <w:rPr>
          <w:rFonts w:asciiTheme="majorHAnsi" w:eastAsiaTheme="minorHAnsi" w:hAnsiTheme="majorHAnsi" w:cstheme="minorBidi"/>
          <w:sz w:val="20"/>
          <w:szCs w:val="20"/>
          <w:lang w:val="en-US"/>
        </w:rPr>
        <w:t>Tăbăran</w:t>
      </w:r>
      <w:proofErr w:type="spellEnd"/>
      <w:r w:rsidRPr="00786DBE">
        <w:rPr>
          <w:rFonts w:asciiTheme="majorHAnsi" w:eastAsiaTheme="minorHAnsi" w:hAnsiTheme="majorHAnsi" w:cstheme="minorBidi"/>
          <w:sz w:val="20"/>
          <w:szCs w:val="20"/>
          <w:lang w:val="en-US"/>
        </w:rPr>
        <w:t>, an associate professor and a researcher with an established international profile, addresses the critical problem of resistant foodborne bacteria and their impact on public health.</w:t>
      </w:r>
    </w:p>
    <w:p w:rsidR="00786DBE" w:rsidRPr="00786DBE" w:rsidRDefault="00786DBE" w:rsidP="00786DBE">
      <w:pPr>
        <w:spacing w:line="360" w:lineRule="auto"/>
        <w:ind w:firstLine="540"/>
        <w:jc w:val="both"/>
        <w:rPr>
          <w:rFonts w:asciiTheme="majorHAnsi" w:eastAsiaTheme="minorHAnsi" w:hAnsiTheme="majorHAnsi" w:cstheme="minorBidi"/>
          <w:sz w:val="20"/>
          <w:szCs w:val="20"/>
          <w:lang w:val="en-US"/>
        </w:rPr>
      </w:pPr>
      <w:r w:rsidRPr="00786DBE">
        <w:rPr>
          <w:rFonts w:asciiTheme="majorHAnsi" w:eastAsiaTheme="minorHAnsi" w:hAnsiTheme="majorHAnsi" w:cstheme="minorBidi"/>
          <w:sz w:val="20"/>
          <w:szCs w:val="20"/>
          <w:lang w:val="en-US"/>
        </w:rPr>
        <w:t xml:space="preserve">Her research has focused over the past decade on </w:t>
      </w:r>
      <w:r w:rsidRPr="00786DBE">
        <w:rPr>
          <w:rFonts w:asciiTheme="majorHAnsi" w:eastAsiaTheme="minorHAnsi" w:hAnsiTheme="majorHAnsi" w:cstheme="minorBidi"/>
          <w:i/>
          <w:sz w:val="20"/>
          <w:szCs w:val="20"/>
          <w:lang w:val="en-US"/>
        </w:rPr>
        <w:t>Escherichia coli</w:t>
      </w:r>
      <w:r w:rsidRPr="00786DBE">
        <w:rPr>
          <w:rFonts w:asciiTheme="majorHAnsi" w:eastAsiaTheme="minorHAnsi" w:hAnsiTheme="majorHAnsi" w:cstheme="minorBidi"/>
          <w:sz w:val="20"/>
          <w:szCs w:val="20"/>
          <w:lang w:val="en-US"/>
        </w:rPr>
        <w:t xml:space="preserve">, </w:t>
      </w:r>
      <w:r w:rsidRPr="00786DBE">
        <w:rPr>
          <w:rFonts w:asciiTheme="majorHAnsi" w:eastAsiaTheme="minorHAnsi" w:hAnsiTheme="majorHAnsi" w:cstheme="minorBidi"/>
          <w:i/>
          <w:sz w:val="20"/>
          <w:szCs w:val="20"/>
          <w:lang w:val="en-US"/>
        </w:rPr>
        <w:t xml:space="preserve">Salmonella </w:t>
      </w:r>
      <w:r w:rsidRPr="00786DBE">
        <w:rPr>
          <w:rFonts w:asciiTheme="majorHAnsi" w:eastAsiaTheme="minorHAnsi" w:hAnsiTheme="majorHAnsi" w:cstheme="minorBidi"/>
          <w:sz w:val="20"/>
          <w:szCs w:val="20"/>
          <w:lang w:val="en-US"/>
        </w:rPr>
        <w:t xml:space="preserve">spp., </w:t>
      </w:r>
      <w:r w:rsidRPr="00786DBE">
        <w:rPr>
          <w:rFonts w:asciiTheme="majorHAnsi" w:eastAsiaTheme="minorHAnsi" w:hAnsiTheme="majorHAnsi" w:cstheme="minorBidi"/>
          <w:i/>
          <w:sz w:val="20"/>
          <w:szCs w:val="20"/>
          <w:lang w:val="en-US"/>
        </w:rPr>
        <w:t>Listeria monocytogenes</w:t>
      </w:r>
      <w:r w:rsidRPr="00786DBE">
        <w:rPr>
          <w:rFonts w:asciiTheme="majorHAnsi" w:eastAsiaTheme="minorHAnsi" w:hAnsiTheme="majorHAnsi" w:cstheme="minorBidi"/>
          <w:sz w:val="20"/>
          <w:szCs w:val="20"/>
          <w:lang w:val="en-US"/>
        </w:rPr>
        <w:t xml:space="preserve">, and </w:t>
      </w:r>
      <w:r w:rsidRPr="00786DBE">
        <w:rPr>
          <w:rFonts w:asciiTheme="majorHAnsi" w:eastAsiaTheme="minorHAnsi" w:hAnsiTheme="majorHAnsi" w:cstheme="minorBidi"/>
          <w:i/>
          <w:sz w:val="20"/>
          <w:szCs w:val="20"/>
          <w:lang w:val="en-US"/>
        </w:rPr>
        <w:t>Clostridium perfringens</w:t>
      </w:r>
      <w:r w:rsidRPr="00786DBE">
        <w:rPr>
          <w:rFonts w:asciiTheme="majorHAnsi" w:eastAsiaTheme="minorHAnsi" w:hAnsiTheme="majorHAnsi" w:cstheme="minorBidi"/>
          <w:sz w:val="20"/>
          <w:szCs w:val="20"/>
          <w:lang w:val="en-US"/>
        </w:rPr>
        <w:t>, with a particular emphasis on their virulence and antimicrobial resistance. The scope of her work aligns with One Health principles and is especially relevant for countries like Romania, where standardized AMR surveillance is still developing.</w:t>
      </w:r>
    </w:p>
    <w:p w:rsidR="00786DBE" w:rsidRPr="00786DBE" w:rsidRDefault="00786DBE" w:rsidP="00786DBE">
      <w:pPr>
        <w:spacing w:after="200" w:line="360" w:lineRule="auto"/>
        <w:ind w:firstLine="540"/>
        <w:jc w:val="both"/>
        <w:rPr>
          <w:rFonts w:asciiTheme="minorHAnsi" w:eastAsiaTheme="minorHAnsi" w:hAnsiTheme="minorHAnsi" w:cstheme="minorBidi"/>
          <w:sz w:val="22"/>
          <w:szCs w:val="22"/>
          <w:lang w:val="en-US"/>
        </w:rPr>
      </w:pPr>
      <w:r w:rsidRPr="00786DBE">
        <w:rPr>
          <w:rFonts w:asciiTheme="majorHAnsi" w:eastAsiaTheme="minorHAnsi" w:hAnsiTheme="majorHAnsi" w:cstheme="minorBidi"/>
          <w:sz w:val="20"/>
          <w:szCs w:val="20"/>
          <w:lang w:val="en-US"/>
        </w:rPr>
        <w:t xml:space="preserve">Dr. </w:t>
      </w:r>
      <w:proofErr w:type="spellStart"/>
      <w:r w:rsidRPr="00786DBE">
        <w:rPr>
          <w:rFonts w:asciiTheme="majorHAnsi" w:eastAsiaTheme="minorHAnsi" w:hAnsiTheme="majorHAnsi" w:cstheme="minorBidi"/>
          <w:sz w:val="20"/>
          <w:szCs w:val="20"/>
          <w:lang w:val="en-US"/>
        </w:rPr>
        <w:t>Tăbăran</w:t>
      </w:r>
      <w:proofErr w:type="spellEnd"/>
      <w:r w:rsidRPr="00786DBE">
        <w:rPr>
          <w:rFonts w:asciiTheme="majorHAnsi" w:eastAsiaTheme="minorHAnsi" w:hAnsiTheme="majorHAnsi" w:cstheme="minorBidi"/>
          <w:sz w:val="20"/>
          <w:szCs w:val="20"/>
          <w:lang w:val="en-US"/>
        </w:rPr>
        <w:t xml:space="preserve"> has made substantial contributions through high-impact publications, leadership in national projects, and extensive citation metrics. She has taught and published in three languages, reviewed for top journals, and developed course materials for food safety and inspection. The thesis is both a synthesis of her achievements and a structured analysis of the food chain as a microbial reservoir</w:t>
      </w:r>
      <w:r w:rsidRPr="00786DBE">
        <w:rPr>
          <w:rFonts w:asciiTheme="minorHAnsi" w:eastAsiaTheme="minorHAnsi" w:hAnsiTheme="minorHAnsi" w:cstheme="minorBidi"/>
          <w:sz w:val="22"/>
          <w:szCs w:val="22"/>
          <w:lang w:val="en-US"/>
        </w:rPr>
        <w:t>.</w:t>
      </w:r>
    </w:p>
    <w:p w:rsidR="00786DBE" w:rsidRPr="00786DBE" w:rsidRDefault="00786DBE" w:rsidP="00786DBE">
      <w:pPr>
        <w:spacing w:line="360" w:lineRule="auto"/>
        <w:ind w:firstLine="540"/>
        <w:rPr>
          <w:rFonts w:asciiTheme="majorHAnsi" w:eastAsiaTheme="minorHAnsi" w:hAnsiTheme="majorHAnsi" w:cstheme="minorBidi"/>
          <w:i/>
          <w:sz w:val="22"/>
          <w:szCs w:val="22"/>
          <w:lang w:val="en-US"/>
        </w:rPr>
      </w:pPr>
      <w:r w:rsidRPr="00786DBE">
        <w:rPr>
          <w:rFonts w:asciiTheme="majorHAnsi" w:eastAsiaTheme="minorHAnsi" w:hAnsiTheme="majorHAnsi" w:cstheme="minorBidi"/>
          <w:i/>
          <w:sz w:val="22"/>
          <w:szCs w:val="22"/>
          <w:lang w:val="en-US"/>
        </w:rPr>
        <w:t>Chapter 2 – Assessment of Microbiological Contamination and Prevalence of Pathogenic Strains in Carcasses from Various Species</w:t>
      </w:r>
    </w:p>
    <w:p w:rsidR="00786DBE" w:rsidRPr="00786DBE" w:rsidRDefault="00786DBE" w:rsidP="00786DBE">
      <w:pPr>
        <w:spacing w:line="360" w:lineRule="auto"/>
        <w:ind w:firstLine="540"/>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t>This central chapter is divided into sub-studies on cattle, swine, and poultry carcasses, offering a comprehensive evaluation of contamination risks at slaughterhouse level.</w:t>
      </w:r>
    </w:p>
    <w:p w:rsidR="00786DBE" w:rsidRPr="00786DBE" w:rsidRDefault="00786DBE" w:rsidP="00786DBE">
      <w:pPr>
        <w:spacing w:line="360" w:lineRule="auto"/>
        <w:ind w:firstLine="540"/>
        <w:jc w:val="both"/>
        <w:rPr>
          <w:rFonts w:asciiTheme="majorHAnsi" w:eastAsiaTheme="minorHAnsi" w:hAnsiTheme="majorHAnsi" w:cstheme="minorBidi"/>
          <w:b/>
          <w:sz w:val="22"/>
          <w:szCs w:val="22"/>
          <w:lang w:val="en-US"/>
        </w:rPr>
      </w:pPr>
      <w:r w:rsidRPr="00786DBE">
        <w:rPr>
          <w:rFonts w:asciiTheme="majorHAnsi" w:eastAsiaTheme="minorHAnsi" w:hAnsiTheme="majorHAnsi" w:cstheme="minorBidi"/>
          <w:b/>
          <w:sz w:val="22"/>
          <w:szCs w:val="22"/>
          <w:lang w:val="en-US"/>
        </w:rPr>
        <w:t>Bovine Carcasses</w:t>
      </w:r>
    </w:p>
    <w:p w:rsidR="00786DBE" w:rsidRPr="00786DBE" w:rsidRDefault="00786DBE" w:rsidP="00786DBE">
      <w:pPr>
        <w:spacing w:line="360" w:lineRule="auto"/>
        <w:ind w:firstLine="540"/>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t xml:space="preserve">The study focused on two Romanian slaughterhouses and sampled bovine carcasses at two critical stages: after evisceration and after cooling. Using classical microbiology and PCR-based identification, results showed a significant reduction in microbial loads post-cooling. Yet, 14% of fecal </w:t>
      </w:r>
      <w:r w:rsidRPr="00786DBE">
        <w:rPr>
          <w:rFonts w:asciiTheme="majorHAnsi" w:eastAsiaTheme="minorHAnsi" w:hAnsiTheme="majorHAnsi" w:cstheme="minorBidi"/>
          <w:sz w:val="22"/>
          <w:szCs w:val="22"/>
          <w:lang w:val="en-US"/>
        </w:rPr>
        <w:lastRenderedPageBreak/>
        <w:t xml:space="preserve">samples were positive for pathogenic </w:t>
      </w:r>
      <w:r w:rsidRPr="00786DBE">
        <w:rPr>
          <w:rFonts w:asciiTheme="majorHAnsi" w:eastAsiaTheme="minorHAnsi" w:hAnsiTheme="majorHAnsi" w:cstheme="minorBidi"/>
          <w:i/>
          <w:sz w:val="22"/>
          <w:szCs w:val="22"/>
          <w:lang w:val="en-US"/>
        </w:rPr>
        <w:t>E. coli</w:t>
      </w:r>
      <w:r w:rsidRPr="00786DBE">
        <w:rPr>
          <w:rFonts w:asciiTheme="majorHAnsi" w:eastAsiaTheme="minorHAnsi" w:hAnsiTheme="majorHAnsi" w:cstheme="minorBidi"/>
          <w:sz w:val="22"/>
          <w:szCs w:val="22"/>
          <w:lang w:val="en-US"/>
        </w:rPr>
        <w:t>, including serogroups like O101 and O26.</w:t>
      </w:r>
    </w:p>
    <w:p w:rsidR="00786DBE" w:rsidRPr="00786DBE" w:rsidRDefault="00786DBE" w:rsidP="00786DBE">
      <w:pPr>
        <w:spacing w:line="360" w:lineRule="auto"/>
        <w:ind w:firstLine="540"/>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t xml:space="preserve">Approximately 5% of carcass samples carried </w:t>
      </w:r>
      <w:r w:rsidRPr="00786DBE">
        <w:rPr>
          <w:rFonts w:asciiTheme="majorHAnsi" w:eastAsiaTheme="minorHAnsi" w:hAnsiTheme="majorHAnsi" w:cstheme="minorBidi"/>
          <w:i/>
          <w:sz w:val="22"/>
          <w:szCs w:val="22"/>
          <w:lang w:val="en-US"/>
        </w:rPr>
        <w:t>E. coli</w:t>
      </w:r>
      <w:r w:rsidRPr="00786DBE">
        <w:rPr>
          <w:rFonts w:asciiTheme="majorHAnsi" w:eastAsiaTheme="minorHAnsi" w:hAnsiTheme="majorHAnsi" w:cstheme="minorBidi"/>
          <w:sz w:val="22"/>
          <w:szCs w:val="22"/>
          <w:lang w:val="en-US"/>
        </w:rPr>
        <w:t xml:space="preserve"> strains with virulence genes, some of which matched fecal isolates, indicating contamination likely occurred during evisceration. No </w:t>
      </w:r>
      <w:r w:rsidRPr="00786DBE">
        <w:rPr>
          <w:rFonts w:asciiTheme="majorHAnsi" w:eastAsiaTheme="minorHAnsi" w:hAnsiTheme="majorHAnsi" w:cstheme="minorBidi"/>
          <w:i/>
          <w:sz w:val="22"/>
          <w:szCs w:val="22"/>
          <w:lang w:val="en-US"/>
        </w:rPr>
        <w:t>Salmonella</w:t>
      </w:r>
      <w:r w:rsidRPr="00786DBE">
        <w:rPr>
          <w:rFonts w:asciiTheme="majorHAnsi" w:eastAsiaTheme="minorHAnsi" w:hAnsiTheme="majorHAnsi" w:cstheme="minorBidi"/>
          <w:sz w:val="22"/>
          <w:szCs w:val="22"/>
          <w:lang w:val="en-US"/>
        </w:rPr>
        <w:t xml:space="preserve"> or </w:t>
      </w:r>
      <w:r w:rsidRPr="00786DBE">
        <w:rPr>
          <w:rFonts w:asciiTheme="majorHAnsi" w:eastAsiaTheme="minorHAnsi" w:hAnsiTheme="majorHAnsi" w:cstheme="minorBidi"/>
          <w:i/>
          <w:sz w:val="22"/>
          <w:szCs w:val="22"/>
          <w:lang w:val="en-US"/>
        </w:rPr>
        <w:t xml:space="preserve">Listeria </w:t>
      </w:r>
      <w:proofErr w:type="gramStart"/>
      <w:r w:rsidRPr="00786DBE">
        <w:rPr>
          <w:rFonts w:asciiTheme="majorHAnsi" w:eastAsiaTheme="minorHAnsi" w:hAnsiTheme="majorHAnsi" w:cstheme="minorBidi"/>
          <w:sz w:val="22"/>
          <w:szCs w:val="22"/>
          <w:lang w:val="en-US"/>
        </w:rPr>
        <w:t>were</w:t>
      </w:r>
      <w:proofErr w:type="gramEnd"/>
      <w:r w:rsidRPr="00786DBE">
        <w:rPr>
          <w:rFonts w:asciiTheme="majorHAnsi" w:eastAsiaTheme="minorHAnsi" w:hAnsiTheme="majorHAnsi" w:cstheme="minorBidi"/>
          <w:sz w:val="22"/>
          <w:szCs w:val="22"/>
          <w:lang w:val="en-US"/>
        </w:rPr>
        <w:t xml:space="preserve"> found on carcasses, but </w:t>
      </w:r>
      <w:r w:rsidRPr="00786DBE">
        <w:rPr>
          <w:rFonts w:asciiTheme="majorHAnsi" w:eastAsiaTheme="minorHAnsi" w:hAnsiTheme="majorHAnsi" w:cstheme="minorBidi"/>
          <w:i/>
          <w:sz w:val="22"/>
          <w:szCs w:val="22"/>
          <w:lang w:val="en-US"/>
        </w:rPr>
        <w:t>Salmonella</w:t>
      </w:r>
      <w:r w:rsidRPr="00786DBE">
        <w:rPr>
          <w:rFonts w:asciiTheme="majorHAnsi" w:eastAsiaTheme="minorHAnsi" w:hAnsiTheme="majorHAnsi" w:cstheme="minorBidi"/>
          <w:sz w:val="22"/>
          <w:szCs w:val="22"/>
          <w:lang w:val="en-US"/>
        </w:rPr>
        <w:t xml:space="preserve"> was detected in 28% of fecal samples (mainly </w:t>
      </w:r>
      <w:r w:rsidRPr="00786DBE">
        <w:rPr>
          <w:rFonts w:asciiTheme="majorHAnsi" w:eastAsiaTheme="minorHAnsi" w:hAnsiTheme="majorHAnsi" w:cstheme="minorBidi"/>
          <w:i/>
          <w:sz w:val="22"/>
          <w:szCs w:val="22"/>
          <w:lang w:val="en-US"/>
        </w:rPr>
        <w:t>S. Typhimurium</w:t>
      </w:r>
      <w:r w:rsidRPr="00786DBE">
        <w:rPr>
          <w:rFonts w:asciiTheme="majorHAnsi" w:eastAsiaTheme="minorHAnsi" w:hAnsiTheme="majorHAnsi" w:cstheme="minorBidi"/>
          <w:sz w:val="22"/>
          <w:szCs w:val="22"/>
          <w:lang w:val="en-US"/>
        </w:rPr>
        <w:t xml:space="preserve">). The study emphasized the crucial need for effective hygiene during slaughter, especially considering that </w:t>
      </w:r>
      <w:r w:rsidRPr="00786DBE">
        <w:rPr>
          <w:rFonts w:asciiTheme="majorHAnsi" w:eastAsiaTheme="minorHAnsi" w:hAnsiTheme="majorHAnsi" w:cstheme="minorBidi"/>
          <w:i/>
          <w:sz w:val="22"/>
          <w:szCs w:val="22"/>
          <w:lang w:val="en-US"/>
        </w:rPr>
        <w:t>E. coli</w:t>
      </w:r>
      <w:r w:rsidRPr="00786DBE">
        <w:rPr>
          <w:rFonts w:asciiTheme="majorHAnsi" w:eastAsiaTheme="minorHAnsi" w:hAnsiTheme="majorHAnsi" w:cstheme="minorBidi"/>
          <w:sz w:val="22"/>
          <w:szCs w:val="22"/>
          <w:lang w:val="en-US"/>
        </w:rPr>
        <w:t xml:space="preserve"> and </w:t>
      </w:r>
      <w:r w:rsidRPr="00786DBE">
        <w:rPr>
          <w:rFonts w:asciiTheme="majorHAnsi" w:eastAsiaTheme="minorHAnsi" w:hAnsiTheme="majorHAnsi" w:cstheme="minorBidi"/>
          <w:i/>
          <w:sz w:val="22"/>
          <w:szCs w:val="22"/>
          <w:lang w:val="en-US"/>
        </w:rPr>
        <w:t>Salmonella</w:t>
      </w:r>
      <w:r w:rsidRPr="00786DBE">
        <w:rPr>
          <w:rFonts w:asciiTheme="majorHAnsi" w:eastAsiaTheme="minorHAnsi" w:hAnsiTheme="majorHAnsi" w:cstheme="minorBidi"/>
          <w:sz w:val="22"/>
          <w:szCs w:val="22"/>
          <w:lang w:val="en-US"/>
        </w:rPr>
        <w:t xml:space="preserve"> may not be visually detected yet pose significant risk.</w:t>
      </w:r>
    </w:p>
    <w:p w:rsidR="00786DBE" w:rsidRPr="00786DBE" w:rsidRDefault="00786DBE" w:rsidP="00786DBE">
      <w:pPr>
        <w:spacing w:line="360" w:lineRule="auto"/>
        <w:ind w:firstLine="540"/>
        <w:rPr>
          <w:rFonts w:asciiTheme="majorHAnsi" w:eastAsiaTheme="minorHAnsi" w:hAnsiTheme="majorHAnsi" w:cstheme="minorBidi"/>
          <w:b/>
          <w:sz w:val="22"/>
          <w:szCs w:val="22"/>
          <w:lang w:val="en-US"/>
        </w:rPr>
      </w:pPr>
      <w:r w:rsidRPr="00786DBE">
        <w:rPr>
          <w:rFonts w:asciiTheme="majorHAnsi" w:eastAsiaTheme="minorHAnsi" w:hAnsiTheme="majorHAnsi" w:cstheme="minorBidi"/>
          <w:b/>
          <w:sz w:val="22"/>
          <w:szCs w:val="22"/>
          <w:lang w:val="en-US"/>
        </w:rPr>
        <w:t>Swine Carcasses</w:t>
      </w:r>
    </w:p>
    <w:p w:rsidR="00786DBE" w:rsidRPr="00786DBE" w:rsidRDefault="00786DBE" w:rsidP="00786DBE">
      <w:pPr>
        <w:spacing w:line="360" w:lineRule="auto"/>
        <w:ind w:firstLine="540"/>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t>In swine, samples collected between 2013 and 2018 revealed varying degrees of surface contamination. A notable seasonal effect was observed: higher microbial loads were recorded during warmer months, likely due to inadequate temperature control and lapses in hygiene.</w:t>
      </w:r>
    </w:p>
    <w:p w:rsidR="00786DBE" w:rsidRPr="00786DBE" w:rsidRDefault="00786DBE" w:rsidP="00786DBE">
      <w:pPr>
        <w:spacing w:line="360" w:lineRule="auto"/>
        <w:ind w:firstLine="540"/>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t xml:space="preserve">In total, </w:t>
      </w:r>
      <w:r w:rsidRPr="00786DBE">
        <w:rPr>
          <w:rFonts w:asciiTheme="majorHAnsi" w:eastAsiaTheme="minorHAnsi" w:hAnsiTheme="majorHAnsi" w:cstheme="minorBidi"/>
          <w:i/>
          <w:sz w:val="22"/>
          <w:szCs w:val="22"/>
          <w:lang w:val="en-US"/>
        </w:rPr>
        <w:t>E. coli</w:t>
      </w:r>
      <w:r w:rsidRPr="00786DBE">
        <w:rPr>
          <w:rFonts w:asciiTheme="majorHAnsi" w:eastAsiaTheme="minorHAnsi" w:hAnsiTheme="majorHAnsi" w:cstheme="minorBidi"/>
          <w:sz w:val="22"/>
          <w:szCs w:val="22"/>
          <w:lang w:val="en-US"/>
        </w:rPr>
        <w:t xml:space="preserve"> was detected in 14.28% of samples and </w:t>
      </w:r>
      <w:r w:rsidRPr="00786DBE">
        <w:rPr>
          <w:rFonts w:asciiTheme="majorHAnsi" w:eastAsiaTheme="minorHAnsi" w:hAnsiTheme="majorHAnsi" w:cstheme="minorBidi"/>
          <w:i/>
          <w:sz w:val="22"/>
          <w:szCs w:val="22"/>
          <w:lang w:val="en-US"/>
        </w:rPr>
        <w:t>Salmonella Typhimurium</w:t>
      </w:r>
      <w:r w:rsidRPr="00786DBE">
        <w:rPr>
          <w:rFonts w:asciiTheme="majorHAnsi" w:eastAsiaTheme="minorHAnsi" w:hAnsiTheme="majorHAnsi" w:cstheme="minorBidi"/>
          <w:sz w:val="22"/>
          <w:szCs w:val="22"/>
          <w:lang w:val="en-US"/>
        </w:rPr>
        <w:t xml:space="preserve"> in 7.14%. Contamination of internal muscle tissues appeared to result from tools or ruptured intestines during processing. Following early results, the slaughterhouse implemented corrective actions, and by 2018, no pathogens were detected—an encouraging sign that hygiene interventions were effective. The study also showed lower contamination rates compared to similar research in Southeast Asia, but still highlighted concerns around warm-season processing.</w:t>
      </w:r>
    </w:p>
    <w:p w:rsidR="00786DBE" w:rsidRPr="00786DBE" w:rsidRDefault="00786DBE" w:rsidP="00786DBE">
      <w:pPr>
        <w:spacing w:line="360" w:lineRule="auto"/>
        <w:ind w:firstLine="540"/>
        <w:rPr>
          <w:rFonts w:asciiTheme="majorHAnsi" w:eastAsiaTheme="minorHAnsi" w:hAnsiTheme="majorHAnsi" w:cstheme="minorBidi"/>
          <w:b/>
          <w:sz w:val="22"/>
          <w:szCs w:val="22"/>
          <w:lang w:val="en-US"/>
        </w:rPr>
      </w:pPr>
      <w:r w:rsidRPr="00786DBE">
        <w:rPr>
          <w:rFonts w:asciiTheme="majorHAnsi" w:eastAsiaTheme="minorHAnsi" w:hAnsiTheme="majorHAnsi" w:cstheme="minorBidi"/>
          <w:sz w:val="22"/>
          <w:szCs w:val="22"/>
          <w:lang w:val="en-US"/>
        </w:rPr>
        <w:t xml:space="preserve"> </w:t>
      </w:r>
      <w:r w:rsidRPr="00786DBE">
        <w:rPr>
          <w:rFonts w:asciiTheme="majorHAnsi" w:eastAsiaTheme="minorHAnsi" w:hAnsiTheme="majorHAnsi" w:cstheme="minorBidi"/>
          <w:b/>
          <w:sz w:val="22"/>
          <w:szCs w:val="22"/>
          <w:lang w:val="en-US"/>
        </w:rPr>
        <w:t>Poultry Carcasses</w:t>
      </w:r>
    </w:p>
    <w:p w:rsidR="00786DBE" w:rsidRPr="00786DBE" w:rsidRDefault="00786DBE" w:rsidP="00786DBE">
      <w:pPr>
        <w:spacing w:line="360" w:lineRule="auto"/>
        <w:ind w:firstLine="540"/>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t xml:space="preserve">Samples collected from poultry production and retail environments showed </w:t>
      </w:r>
      <w:r w:rsidRPr="00786DBE">
        <w:rPr>
          <w:rFonts w:asciiTheme="majorHAnsi" w:eastAsiaTheme="minorHAnsi" w:hAnsiTheme="majorHAnsi" w:cstheme="minorBidi"/>
          <w:i/>
          <w:sz w:val="22"/>
          <w:szCs w:val="22"/>
          <w:lang w:val="en-US"/>
        </w:rPr>
        <w:t>Salmonella</w:t>
      </w:r>
      <w:r w:rsidRPr="00786DBE">
        <w:rPr>
          <w:rFonts w:asciiTheme="majorHAnsi" w:eastAsiaTheme="minorHAnsi" w:hAnsiTheme="majorHAnsi" w:cstheme="minorBidi"/>
          <w:sz w:val="22"/>
          <w:szCs w:val="22"/>
          <w:lang w:val="en-US"/>
        </w:rPr>
        <w:t xml:space="preserve"> spp. contamination in 22.92% of tested meats. Thirteen </w:t>
      </w:r>
      <w:proofErr w:type="spellStart"/>
      <w:r w:rsidRPr="00786DBE">
        <w:rPr>
          <w:rFonts w:asciiTheme="majorHAnsi" w:eastAsiaTheme="minorHAnsi" w:hAnsiTheme="majorHAnsi" w:cstheme="minorBidi"/>
          <w:sz w:val="22"/>
          <w:szCs w:val="22"/>
          <w:lang w:val="en-US"/>
        </w:rPr>
        <w:t>serovars</w:t>
      </w:r>
      <w:proofErr w:type="spellEnd"/>
      <w:r w:rsidRPr="00786DBE">
        <w:rPr>
          <w:rFonts w:asciiTheme="majorHAnsi" w:eastAsiaTheme="minorHAnsi" w:hAnsiTheme="majorHAnsi" w:cstheme="minorBidi"/>
          <w:sz w:val="22"/>
          <w:szCs w:val="22"/>
          <w:lang w:val="en-US"/>
        </w:rPr>
        <w:t xml:space="preserve"> were identified, including </w:t>
      </w:r>
      <w:r w:rsidRPr="00786DBE">
        <w:rPr>
          <w:rFonts w:asciiTheme="majorHAnsi" w:eastAsiaTheme="minorHAnsi" w:hAnsiTheme="majorHAnsi" w:cstheme="minorBidi"/>
          <w:i/>
          <w:sz w:val="22"/>
          <w:szCs w:val="22"/>
          <w:lang w:val="en-US"/>
        </w:rPr>
        <w:t xml:space="preserve">S. </w:t>
      </w:r>
      <w:proofErr w:type="spellStart"/>
      <w:r w:rsidRPr="00786DBE">
        <w:rPr>
          <w:rFonts w:asciiTheme="majorHAnsi" w:eastAsiaTheme="minorHAnsi" w:hAnsiTheme="majorHAnsi" w:cstheme="minorBidi"/>
          <w:i/>
          <w:sz w:val="22"/>
          <w:szCs w:val="22"/>
          <w:lang w:val="en-US"/>
        </w:rPr>
        <w:t>Infantis</w:t>
      </w:r>
      <w:proofErr w:type="spellEnd"/>
      <w:r w:rsidRPr="00786DBE">
        <w:rPr>
          <w:rFonts w:asciiTheme="majorHAnsi" w:eastAsiaTheme="minorHAnsi" w:hAnsiTheme="majorHAnsi" w:cstheme="minorBidi"/>
          <w:sz w:val="22"/>
          <w:szCs w:val="22"/>
          <w:lang w:val="en-US"/>
        </w:rPr>
        <w:t xml:space="preserve">, </w:t>
      </w:r>
      <w:r w:rsidRPr="00786DBE">
        <w:rPr>
          <w:rFonts w:asciiTheme="majorHAnsi" w:eastAsiaTheme="minorHAnsi" w:hAnsiTheme="majorHAnsi" w:cstheme="minorBidi"/>
          <w:i/>
          <w:sz w:val="22"/>
          <w:szCs w:val="22"/>
          <w:lang w:val="en-US"/>
        </w:rPr>
        <w:t>S. Typhimurium</w:t>
      </w:r>
      <w:r w:rsidRPr="00786DBE">
        <w:rPr>
          <w:rFonts w:asciiTheme="majorHAnsi" w:eastAsiaTheme="minorHAnsi" w:hAnsiTheme="majorHAnsi" w:cstheme="minorBidi"/>
          <w:sz w:val="22"/>
          <w:szCs w:val="22"/>
          <w:lang w:val="en-US"/>
        </w:rPr>
        <w:t xml:space="preserve">, and </w:t>
      </w:r>
      <w:r w:rsidRPr="00786DBE">
        <w:rPr>
          <w:rFonts w:asciiTheme="majorHAnsi" w:eastAsiaTheme="minorHAnsi" w:hAnsiTheme="majorHAnsi" w:cstheme="minorBidi"/>
          <w:i/>
          <w:sz w:val="22"/>
          <w:szCs w:val="22"/>
          <w:lang w:val="en-US"/>
        </w:rPr>
        <w:t>S. Derby</w:t>
      </w:r>
      <w:r w:rsidRPr="00786DBE">
        <w:rPr>
          <w:rFonts w:asciiTheme="majorHAnsi" w:eastAsiaTheme="minorHAnsi" w:hAnsiTheme="majorHAnsi" w:cstheme="minorBidi"/>
          <w:sz w:val="22"/>
          <w:szCs w:val="22"/>
          <w:lang w:val="en-US"/>
        </w:rPr>
        <w:t>—all of which are frequently implicated in human salmonellosis.</w:t>
      </w:r>
    </w:p>
    <w:p w:rsidR="00786DBE" w:rsidRPr="00786DBE" w:rsidRDefault="00786DBE" w:rsidP="00786DBE">
      <w:pPr>
        <w:spacing w:line="360" w:lineRule="auto"/>
        <w:ind w:firstLine="540"/>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t xml:space="preserve">Molecular confirmation and serotyping were conducted via PCR, and antibiotic susceptibility was tested using disk diffusion. Results showed </w:t>
      </w:r>
      <w:r w:rsidRPr="00786DBE">
        <w:rPr>
          <w:rFonts w:asciiTheme="majorHAnsi" w:eastAsiaTheme="minorHAnsi" w:hAnsiTheme="majorHAnsi" w:cstheme="minorBidi"/>
          <w:sz w:val="22"/>
          <w:szCs w:val="22"/>
          <w:lang w:val="en-US"/>
        </w:rPr>
        <w:lastRenderedPageBreak/>
        <w:t>that more than 80% of isolates were resistant to three or more antimicrobials. The most common resistance patterns included resistance to tetracycline, streptomycin, and sulfamethoxazole. Some strains showed resistance to fluoroquinolones such as ciprofloxacin, a critical concern given its use in human medicine.</w:t>
      </w:r>
    </w:p>
    <w:p w:rsidR="00786DBE" w:rsidRPr="00786DBE" w:rsidRDefault="00786DBE" w:rsidP="00786DBE">
      <w:pPr>
        <w:spacing w:line="360" w:lineRule="auto"/>
        <w:ind w:firstLine="540"/>
        <w:jc w:val="both"/>
        <w:rPr>
          <w:rFonts w:asciiTheme="majorHAnsi" w:eastAsiaTheme="minorHAnsi" w:hAnsiTheme="majorHAnsi" w:cstheme="minorBidi"/>
          <w:sz w:val="22"/>
          <w:szCs w:val="22"/>
          <w:lang w:val="en-US"/>
        </w:rPr>
      </w:pPr>
    </w:p>
    <w:p w:rsidR="00786DBE" w:rsidRPr="00786DBE" w:rsidRDefault="00786DBE" w:rsidP="00786DBE">
      <w:pPr>
        <w:spacing w:line="360" w:lineRule="auto"/>
        <w:ind w:firstLine="547"/>
        <w:jc w:val="both"/>
        <w:rPr>
          <w:rFonts w:asciiTheme="majorHAnsi" w:eastAsiaTheme="minorHAnsi" w:hAnsiTheme="majorHAnsi" w:cstheme="minorBidi"/>
          <w:i/>
          <w:sz w:val="22"/>
          <w:szCs w:val="22"/>
          <w:lang w:val="en-US"/>
        </w:rPr>
      </w:pPr>
      <w:r w:rsidRPr="00786DBE">
        <w:rPr>
          <w:rFonts w:asciiTheme="majorHAnsi" w:eastAsiaTheme="minorHAnsi" w:hAnsiTheme="majorHAnsi" w:cstheme="minorBidi"/>
          <w:i/>
          <w:sz w:val="22"/>
          <w:szCs w:val="22"/>
          <w:lang w:val="en-US"/>
        </w:rPr>
        <w:t>Chapter 3 – Antibiotic Resistance Profiles of the Bacteria Isolated Within the Food Chain</w:t>
      </w:r>
    </w:p>
    <w:p w:rsidR="00786DBE" w:rsidRPr="00786DBE" w:rsidRDefault="00786DBE" w:rsidP="00786DBE">
      <w:pPr>
        <w:spacing w:line="360" w:lineRule="auto"/>
        <w:ind w:firstLine="547"/>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t xml:space="preserve">This chapter dives deeper into the antimicrobial susceptibility profiles of bacterial isolates gathered in the earlier studies. Testing was conducted on strains of </w:t>
      </w:r>
      <w:r w:rsidRPr="00786DBE">
        <w:rPr>
          <w:rFonts w:asciiTheme="majorHAnsi" w:eastAsiaTheme="minorHAnsi" w:hAnsiTheme="majorHAnsi" w:cstheme="minorBidi"/>
          <w:i/>
          <w:sz w:val="22"/>
          <w:szCs w:val="22"/>
          <w:lang w:val="en-US"/>
        </w:rPr>
        <w:t>E. coli</w:t>
      </w:r>
      <w:r w:rsidRPr="00786DBE">
        <w:rPr>
          <w:rFonts w:asciiTheme="majorHAnsi" w:eastAsiaTheme="minorHAnsi" w:hAnsiTheme="majorHAnsi" w:cstheme="minorBidi"/>
          <w:sz w:val="22"/>
          <w:szCs w:val="22"/>
          <w:lang w:val="en-US"/>
        </w:rPr>
        <w:t xml:space="preserve">, </w:t>
      </w:r>
      <w:r w:rsidRPr="00786DBE">
        <w:rPr>
          <w:rFonts w:asciiTheme="majorHAnsi" w:eastAsiaTheme="minorHAnsi" w:hAnsiTheme="majorHAnsi" w:cstheme="minorBidi"/>
          <w:i/>
          <w:sz w:val="22"/>
          <w:szCs w:val="22"/>
          <w:lang w:val="en-US"/>
        </w:rPr>
        <w:t>Salmonella</w:t>
      </w:r>
      <w:r w:rsidRPr="00786DBE">
        <w:rPr>
          <w:rFonts w:asciiTheme="majorHAnsi" w:eastAsiaTheme="minorHAnsi" w:hAnsiTheme="majorHAnsi" w:cstheme="minorBidi"/>
          <w:sz w:val="22"/>
          <w:szCs w:val="22"/>
          <w:lang w:val="en-US"/>
        </w:rPr>
        <w:t xml:space="preserve">, and </w:t>
      </w:r>
      <w:r w:rsidRPr="00786DBE">
        <w:rPr>
          <w:rFonts w:asciiTheme="majorHAnsi" w:eastAsiaTheme="minorHAnsi" w:hAnsiTheme="majorHAnsi" w:cstheme="minorBidi"/>
          <w:i/>
          <w:sz w:val="22"/>
          <w:szCs w:val="22"/>
          <w:lang w:val="en-US"/>
        </w:rPr>
        <w:t>Listeria monocytogenes</w:t>
      </w:r>
      <w:r w:rsidRPr="00786DBE">
        <w:rPr>
          <w:rFonts w:asciiTheme="majorHAnsi" w:eastAsiaTheme="minorHAnsi" w:hAnsiTheme="majorHAnsi" w:cstheme="minorBidi"/>
          <w:sz w:val="22"/>
          <w:szCs w:val="22"/>
          <w:lang w:val="en-US"/>
        </w:rPr>
        <w:t>, using both phenotypic methods (disk diffusion, MIC) and genotypic tools (PCR detection of resistance genes).</w:t>
      </w:r>
    </w:p>
    <w:p w:rsidR="00786DBE" w:rsidRPr="00786DBE" w:rsidRDefault="00786DBE" w:rsidP="00786DBE">
      <w:pPr>
        <w:spacing w:line="360" w:lineRule="auto"/>
        <w:ind w:firstLine="547"/>
        <w:jc w:val="both"/>
        <w:rPr>
          <w:rFonts w:asciiTheme="majorHAnsi" w:eastAsiaTheme="minorHAnsi" w:hAnsiTheme="majorHAnsi" w:cstheme="minorBidi"/>
          <w:sz w:val="22"/>
          <w:szCs w:val="22"/>
          <w:lang w:val="en-US"/>
        </w:rPr>
      </w:pPr>
      <w:proofErr w:type="gramStart"/>
      <w:r w:rsidRPr="00786DBE">
        <w:rPr>
          <w:rFonts w:asciiTheme="majorHAnsi" w:eastAsiaTheme="minorHAnsi" w:hAnsiTheme="majorHAnsi" w:cstheme="minorBidi"/>
          <w:sz w:val="22"/>
          <w:szCs w:val="22"/>
          <w:lang w:val="en-US"/>
        </w:rPr>
        <w:t xml:space="preserve">The most prevalent resistance genes detected included </w:t>
      </w:r>
      <w:proofErr w:type="spellStart"/>
      <w:r w:rsidRPr="00786DBE">
        <w:rPr>
          <w:rFonts w:asciiTheme="majorHAnsi" w:eastAsiaTheme="minorHAnsi" w:hAnsiTheme="majorHAnsi" w:cstheme="minorBidi"/>
          <w:i/>
          <w:sz w:val="22"/>
          <w:szCs w:val="22"/>
          <w:lang w:val="en-US"/>
        </w:rPr>
        <w:t>tetA</w:t>
      </w:r>
      <w:proofErr w:type="spellEnd"/>
      <w:r w:rsidRPr="00786DBE">
        <w:rPr>
          <w:rFonts w:asciiTheme="majorHAnsi" w:eastAsiaTheme="minorHAnsi" w:hAnsiTheme="majorHAnsi" w:cstheme="minorBidi"/>
          <w:sz w:val="22"/>
          <w:szCs w:val="22"/>
          <w:lang w:val="en-US"/>
        </w:rPr>
        <w:t xml:space="preserve"> (tetracycline resistance), </w:t>
      </w:r>
      <w:r w:rsidRPr="00786DBE">
        <w:rPr>
          <w:rFonts w:asciiTheme="majorHAnsi" w:eastAsiaTheme="minorHAnsi" w:hAnsiTheme="majorHAnsi" w:cstheme="minorBidi"/>
          <w:i/>
          <w:sz w:val="22"/>
          <w:szCs w:val="22"/>
          <w:lang w:val="en-US"/>
        </w:rPr>
        <w:t xml:space="preserve">sul1 </w:t>
      </w:r>
      <w:r w:rsidRPr="00786DBE">
        <w:rPr>
          <w:rFonts w:asciiTheme="majorHAnsi" w:eastAsiaTheme="minorHAnsi" w:hAnsiTheme="majorHAnsi" w:cstheme="minorBidi"/>
          <w:sz w:val="22"/>
          <w:szCs w:val="22"/>
          <w:lang w:val="en-US"/>
        </w:rPr>
        <w:t xml:space="preserve">(sulfonamide resistance), </w:t>
      </w:r>
      <w:proofErr w:type="spellStart"/>
      <w:r w:rsidRPr="00786DBE">
        <w:rPr>
          <w:rFonts w:asciiTheme="majorHAnsi" w:eastAsiaTheme="minorHAnsi" w:hAnsiTheme="majorHAnsi" w:cstheme="minorBidi"/>
          <w:i/>
          <w:sz w:val="22"/>
          <w:szCs w:val="22"/>
          <w:lang w:val="en-US"/>
        </w:rPr>
        <w:t>aadA</w:t>
      </w:r>
      <w:proofErr w:type="spellEnd"/>
      <w:r w:rsidRPr="00786DBE">
        <w:rPr>
          <w:rFonts w:asciiTheme="majorHAnsi" w:eastAsiaTheme="minorHAnsi" w:hAnsiTheme="majorHAnsi" w:cstheme="minorBidi"/>
          <w:sz w:val="22"/>
          <w:szCs w:val="22"/>
          <w:lang w:val="en-US"/>
        </w:rPr>
        <w:t xml:space="preserve"> (aminoglycosides), and </w:t>
      </w:r>
      <w:proofErr w:type="spellStart"/>
      <w:r w:rsidRPr="00786DBE">
        <w:rPr>
          <w:rFonts w:asciiTheme="majorHAnsi" w:eastAsiaTheme="minorHAnsi" w:hAnsiTheme="majorHAnsi" w:cstheme="minorBidi"/>
          <w:i/>
          <w:sz w:val="22"/>
          <w:szCs w:val="22"/>
          <w:lang w:val="en-US"/>
        </w:rPr>
        <w:t>blaTEM</w:t>
      </w:r>
      <w:proofErr w:type="spellEnd"/>
      <w:r w:rsidRPr="00786DBE">
        <w:rPr>
          <w:rFonts w:asciiTheme="majorHAnsi" w:eastAsiaTheme="minorHAnsi" w:hAnsiTheme="majorHAnsi" w:cstheme="minorBidi"/>
          <w:sz w:val="22"/>
          <w:szCs w:val="22"/>
          <w:lang w:val="en-US"/>
        </w:rPr>
        <w:t xml:space="preserve"> (beta-lactams).</w:t>
      </w:r>
      <w:proofErr w:type="gramEnd"/>
      <w:r w:rsidRPr="00786DBE">
        <w:rPr>
          <w:rFonts w:asciiTheme="majorHAnsi" w:eastAsiaTheme="minorHAnsi" w:hAnsiTheme="majorHAnsi" w:cstheme="minorBidi"/>
          <w:sz w:val="22"/>
          <w:szCs w:val="22"/>
          <w:lang w:val="en-US"/>
        </w:rPr>
        <w:t xml:space="preserve"> </w:t>
      </w:r>
      <w:proofErr w:type="spellStart"/>
      <w:r w:rsidRPr="00786DBE">
        <w:rPr>
          <w:rFonts w:asciiTheme="majorHAnsi" w:eastAsiaTheme="minorHAnsi" w:hAnsiTheme="majorHAnsi" w:cstheme="minorBidi"/>
          <w:sz w:val="22"/>
          <w:szCs w:val="22"/>
          <w:lang w:val="en-US"/>
        </w:rPr>
        <w:t>Integrons</w:t>
      </w:r>
      <w:proofErr w:type="spellEnd"/>
      <w:r w:rsidRPr="00786DBE">
        <w:rPr>
          <w:rFonts w:asciiTheme="majorHAnsi" w:eastAsiaTheme="minorHAnsi" w:hAnsiTheme="majorHAnsi" w:cstheme="minorBidi"/>
          <w:sz w:val="22"/>
          <w:szCs w:val="22"/>
          <w:lang w:val="en-US"/>
        </w:rPr>
        <w:t xml:space="preserve"> were also found in multiple isolates, suggesting a genetic mechanism for multi-resistance and gene transfer.</w:t>
      </w:r>
    </w:p>
    <w:p w:rsidR="00786DBE" w:rsidRPr="00786DBE" w:rsidRDefault="00786DBE" w:rsidP="00786DBE">
      <w:pPr>
        <w:spacing w:line="360" w:lineRule="auto"/>
        <w:ind w:firstLine="547"/>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t>The resistance trends identified were consistent across animal species and product types, underlining a systematic issue in antimicrobial use and residue management in Romanian food production systems.</w:t>
      </w:r>
    </w:p>
    <w:p w:rsidR="00786DBE" w:rsidRPr="00786DBE" w:rsidRDefault="00786DBE" w:rsidP="00786DBE">
      <w:pPr>
        <w:spacing w:line="360" w:lineRule="auto"/>
        <w:ind w:firstLine="547"/>
        <w:jc w:val="both"/>
        <w:rPr>
          <w:rFonts w:asciiTheme="majorHAnsi" w:eastAsiaTheme="minorHAnsi" w:hAnsiTheme="majorHAnsi" w:cstheme="minorBidi"/>
          <w:sz w:val="22"/>
          <w:szCs w:val="22"/>
          <w:lang w:val="en-US"/>
        </w:rPr>
      </w:pPr>
    </w:p>
    <w:p w:rsidR="00786DBE" w:rsidRPr="00786DBE" w:rsidRDefault="00786DBE" w:rsidP="00786DBE">
      <w:pPr>
        <w:spacing w:line="360" w:lineRule="auto"/>
        <w:ind w:firstLine="547"/>
        <w:jc w:val="both"/>
        <w:rPr>
          <w:rFonts w:asciiTheme="majorHAnsi" w:eastAsiaTheme="minorHAnsi" w:hAnsiTheme="majorHAnsi" w:cstheme="minorBidi"/>
          <w:i/>
          <w:sz w:val="22"/>
          <w:szCs w:val="22"/>
          <w:lang w:val="en-US"/>
        </w:rPr>
      </w:pPr>
      <w:r w:rsidRPr="00786DBE">
        <w:rPr>
          <w:rFonts w:asciiTheme="majorHAnsi" w:eastAsiaTheme="minorHAnsi" w:hAnsiTheme="majorHAnsi" w:cstheme="minorBidi"/>
          <w:i/>
          <w:sz w:val="22"/>
          <w:szCs w:val="22"/>
          <w:lang w:val="en-US"/>
        </w:rPr>
        <w:t>Chapter 4 – Virulence and Antimicrobial Resistance of Bacteria Isolated from Food Products</w:t>
      </w:r>
    </w:p>
    <w:p w:rsidR="00786DBE" w:rsidRPr="00786DBE" w:rsidRDefault="00786DBE" w:rsidP="00786DBE">
      <w:pPr>
        <w:spacing w:line="360" w:lineRule="auto"/>
        <w:ind w:firstLine="547"/>
        <w:jc w:val="both"/>
        <w:rPr>
          <w:rFonts w:asciiTheme="majorHAnsi" w:eastAsiaTheme="minorHAnsi" w:hAnsiTheme="majorHAnsi" w:cstheme="minorBidi"/>
          <w:b/>
          <w:sz w:val="22"/>
          <w:szCs w:val="22"/>
          <w:lang w:val="en-US"/>
        </w:rPr>
      </w:pPr>
      <w:r w:rsidRPr="00786DBE">
        <w:rPr>
          <w:rFonts w:asciiTheme="majorHAnsi" w:eastAsiaTheme="minorHAnsi" w:hAnsiTheme="majorHAnsi" w:cstheme="minorBidi"/>
          <w:b/>
          <w:sz w:val="22"/>
          <w:szCs w:val="22"/>
          <w:lang w:val="en-US"/>
        </w:rPr>
        <w:t>Meat Products</w:t>
      </w:r>
    </w:p>
    <w:p w:rsidR="00786DBE" w:rsidRPr="00786DBE" w:rsidRDefault="00786DBE" w:rsidP="00786DBE">
      <w:pPr>
        <w:spacing w:line="360" w:lineRule="auto"/>
        <w:ind w:firstLine="547"/>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t xml:space="preserve">Studies on processed meat products, including sausages, pork ham, and fillets, showed contamination with both Gram-negative (e.g., </w:t>
      </w:r>
      <w:r w:rsidRPr="00786DBE">
        <w:rPr>
          <w:rFonts w:asciiTheme="majorHAnsi" w:eastAsiaTheme="minorHAnsi" w:hAnsiTheme="majorHAnsi" w:cstheme="minorBidi"/>
          <w:i/>
          <w:sz w:val="22"/>
          <w:szCs w:val="22"/>
          <w:lang w:val="en-US"/>
        </w:rPr>
        <w:t>Pseudomonas</w:t>
      </w:r>
      <w:r w:rsidRPr="00786DBE">
        <w:rPr>
          <w:rFonts w:asciiTheme="majorHAnsi" w:eastAsiaTheme="minorHAnsi" w:hAnsiTheme="majorHAnsi" w:cstheme="minorBidi"/>
          <w:sz w:val="22"/>
          <w:szCs w:val="22"/>
          <w:lang w:val="en-US"/>
        </w:rPr>
        <w:t xml:space="preserve">, </w:t>
      </w:r>
      <w:r w:rsidRPr="00786DBE">
        <w:rPr>
          <w:rFonts w:asciiTheme="majorHAnsi" w:eastAsiaTheme="minorHAnsi" w:hAnsiTheme="majorHAnsi" w:cstheme="minorBidi"/>
          <w:i/>
          <w:sz w:val="22"/>
          <w:szCs w:val="22"/>
          <w:lang w:val="en-US"/>
        </w:rPr>
        <w:t>Acinetobacter</w:t>
      </w:r>
      <w:r w:rsidRPr="00786DBE">
        <w:rPr>
          <w:rFonts w:asciiTheme="majorHAnsi" w:eastAsiaTheme="minorHAnsi" w:hAnsiTheme="majorHAnsi" w:cstheme="minorBidi"/>
          <w:sz w:val="22"/>
          <w:szCs w:val="22"/>
          <w:lang w:val="en-US"/>
        </w:rPr>
        <w:t xml:space="preserve">) and Gram-positive bacteria (e.g., </w:t>
      </w:r>
      <w:r w:rsidRPr="00786DBE">
        <w:rPr>
          <w:rFonts w:asciiTheme="majorHAnsi" w:eastAsiaTheme="minorHAnsi" w:hAnsiTheme="majorHAnsi" w:cstheme="minorBidi"/>
          <w:sz w:val="22"/>
          <w:szCs w:val="22"/>
          <w:lang w:val="en-US"/>
        </w:rPr>
        <w:lastRenderedPageBreak/>
        <w:t xml:space="preserve">Staphylococcus, Streptococcus). </w:t>
      </w:r>
      <w:proofErr w:type="spellStart"/>
      <w:r w:rsidRPr="00786DBE">
        <w:rPr>
          <w:rFonts w:asciiTheme="majorHAnsi" w:eastAsiaTheme="minorHAnsi" w:hAnsiTheme="majorHAnsi" w:cstheme="minorBidi"/>
          <w:sz w:val="22"/>
          <w:szCs w:val="22"/>
          <w:lang w:val="en-US"/>
        </w:rPr>
        <w:t>Psychrotrophic</w:t>
      </w:r>
      <w:proofErr w:type="spellEnd"/>
      <w:r w:rsidRPr="00786DBE">
        <w:rPr>
          <w:rFonts w:asciiTheme="majorHAnsi" w:eastAsiaTheme="minorHAnsi" w:hAnsiTheme="majorHAnsi" w:cstheme="minorBidi"/>
          <w:sz w:val="22"/>
          <w:szCs w:val="22"/>
          <w:lang w:val="en-US"/>
        </w:rPr>
        <w:t xml:space="preserve"> bacteria were dominant, especially in products stored or sold during warmer months.</w:t>
      </w:r>
    </w:p>
    <w:p w:rsidR="00786DBE" w:rsidRPr="00786DBE" w:rsidRDefault="00786DBE" w:rsidP="00786DBE">
      <w:pPr>
        <w:spacing w:line="360" w:lineRule="auto"/>
        <w:ind w:firstLine="547"/>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i/>
          <w:sz w:val="22"/>
          <w:szCs w:val="22"/>
          <w:lang w:val="en-US"/>
        </w:rPr>
        <w:t>Salmonella</w:t>
      </w:r>
      <w:r w:rsidRPr="00786DBE">
        <w:rPr>
          <w:rFonts w:asciiTheme="majorHAnsi" w:eastAsiaTheme="minorHAnsi" w:hAnsiTheme="majorHAnsi" w:cstheme="minorBidi"/>
          <w:sz w:val="22"/>
          <w:szCs w:val="22"/>
          <w:lang w:val="en-US"/>
        </w:rPr>
        <w:t xml:space="preserve"> was detected in pork and chicken meat. The </w:t>
      </w:r>
      <w:proofErr w:type="gramStart"/>
      <w:r w:rsidRPr="00786DBE">
        <w:rPr>
          <w:rFonts w:asciiTheme="majorHAnsi" w:eastAsiaTheme="minorHAnsi" w:hAnsiTheme="majorHAnsi" w:cstheme="minorBidi"/>
          <w:sz w:val="22"/>
          <w:szCs w:val="22"/>
          <w:lang w:val="en-US"/>
        </w:rPr>
        <w:t xml:space="preserve">majority of </w:t>
      </w:r>
      <w:r w:rsidRPr="00786DBE">
        <w:rPr>
          <w:rFonts w:asciiTheme="majorHAnsi" w:eastAsiaTheme="minorHAnsi" w:hAnsiTheme="majorHAnsi" w:cstheme="minorBidi"/>
          <w:i/>
          <w:sz w:val="22"/>
          <w:szCs w:val="22"/>
          <w:lang w:val="en-US"/>
        </w:rPr>
        <w:t>Salmonella</w:t>
      </w:r>
      <w:r w:rsidRPr="00786DBE">
        <w:rPr>
          <w:rFonts w:asciiTheme="majorHAnsi" w:eastAsiaTheme="minorHAnsi" w:hAnsiTheme="majorHAnsi" w:cstheme="minorBidi"/>
          <w:sz w:val="22"/>
          <w:szCs w:val="22"/>
          <w:lang w:val="en-US"/>
        </w:rPr>
        <w:t xml:space="preserve"> isolates were</w:t>
      </w:r>
      <w:proofErr w:type="gramEnd"/>
      <w:r w:rsidRPr="00786DBE">
        <w:rPr>
          <w:rFonts w:asciiTheme="majorHAnsi" w:eastAsiaTheme="minorHAnsi" w:hAnsiTheme="majorHAnsi" w:cstheme="minorBidi"/>
          <w:sz w:val="22"/>
          <w:szCs w:val="22"/>
          <w:lang w:val="en-US"/>
        </w:rPr>
        <w:t xml:space="preserve"> MDR and carried resistance genes. In Listeria monocytogenes, virulence genes such as </w:t>
      </w:r>
      <w:proofErr w:type="spellStart"/>
      <w:r w:rsidRPr="00786DBE">
        <w:rPr>
          <w:rFonts w:asciiTheme="majorHAnsi" w:eastAsiaTheme="minorHAnsi" w:hAnsiTheme="majorHAnsi" w:cstheme="minorBidi"/>
          <w:sz w:val="22"/>
          <w:szCs w:val="22"/>
          <w:lang w:val="en-US"/>
        </w:rPr>
        <w:t>inlA</w:t>
      </w:r>
      <w:proofErr w:type="spellEnd"/>
      <w:r w:rsidRPr="00786DBE">
        <w:rPr>
          <w:rFonts w:asciiTheme="majorHAnsi" w:eastAsiaTheme="minorHAnsi" w:hAnsiTheme="majorHAnsi" w:cstheme="minorBidi"/>
          <w:sz w:val="22"/>
          <w:szCs w:val="22"/>
          <w:lang w:val="en-US"/>
        </w:rPr>
        <w:t xml:space="preserve">, </w:t>
      </w:r>
      <w:proofErr w:type="spellStart"/>
      <w:r w:rsidRPr="00786DBE">
        <w:rPr>
          <w:rFonts w:asciiTheme="majorHAnsi" w:eastAsiaTheme="minorHAnsi" w:hAnsiTheme="majorHAnsi" w:cstheme="minorBidi"/>
          <w:i/>
          <w:sz w:val="22"/>
          <w:szCs w:val="22"/>
          <w:lang w:val="en-US"/>
        </w:rPr>
        <w:t>prfA</w:t>
      </w:r>
      <w:proofErr w:type="spellEnd"/>
      <w:r w:rsidRPr="00786DBE">
        <w:rPr>
          <w:rFonts w:asciiTheme="majorHAnsi" w:eastAsiaTheme="minorHAnsi" w:hAnsiTheme="majorHAnsi" w:cstheme="minorBidi"/>
          <w:sz w:val="22"/>
          <w:szCs w:val="22"/>
          <w:lang w:val="en-US"/>
        </w:rPr>
        <w:t xml:space="preserve">, and </w:t>
      </w:r>
      <w:proofErr w:type="spellStart"/>
      <w:r w:rsidRPr="00786DBE">
        <w:rPr>
          <w:rFonts w:asciiTheme="majorHAnsi" w:eastAsiaTheme="minorHAnsi" w:hAnsiTheme="majorHAnsi" w:cstheme="minorBidi"/>
          <w:i/>
          <w:sz w:val="22"/>
          <w:szCs w:val="22"/>
          <w:lang w:val="en-US"/>
        </w:rPr>
        <w:t>actA</w:t>
      </w:r>
      <w:proofErr w:type="spellEnd"/>
      <w:r w:rsidRPr="00786DBE">
        <w:rPr>
          <w:rFonts w:asciiTheme="majorHAnsi" w:eastAsiaTheme="minorHAnsi" w:hAnsiTheme="majorHAnsi" w:cstheme="minorBidi"/>
          <w:sz w:val="22"/>
          <w:szCs w:val="22"/>
          <w:lang w:val="en-US"/>
        </w:rPr>
        <w:t xml:space="preserve"> were detected, as well as moderate resistance to tetracycline and erythromycin. These strains were mostly isolated from ready-to-eat products—raising important concerns about consumer safety.</w:t>
      </w:r>
    </w:p>
    <w:p w:rsidR="00786DBE" w:rsidRPr="00786DBE" w:rsidRDefault="00786DBE" w:rsidP="00786DBE">
      <w:pPr>
        <w:spacing w:line="360" w:lineRule="auto"/>
        <w:ind w:firstLine="547"/>
        <w:jc w:val="both"/>
        <w:rPr>
          <w:rFonts w:asciiTheme="majorHAnsi" w:eastAsiaTheme="minorHAnsi" w:hAnsiTheme="majorHAnsi" w:cstheme="minorBidi"/>
          <w:b/>
          <w:sz w:val="22"/>
          <w:szCs w:val="22"/>
          <w:lang w:val="en-US"/>
        </w:rPr>
      </w:pPr>
      <w:r w:rsidRPr="00786DBE">
        <w:rPr>
          <w:rFonts w:asciiTheme="majorHAnsi" w:eastAsiaTheme="minorHAnsi" w:hAnsiTheme="majorHAnsi" w:cstheme="minorBidi"/>
          <w:b/>
          <w:sz w:val="22"/>
          <w:szCs w:val="22"/>
          <w:lang w:val="en-US"/>
        </w:rPr>
        <w:t>Dairy Products</w:t>
      </w:r>
    </w:p>
    <w:p w:rsidR="00786DBE" w:rsidRPr="00786DBE" w:rsidRDefault="00786DBE" w:rsidP="00786DBE">
      <w:pPr>
        <w:spacing w:line="360" w:lineRule="auto"/>
        <w:ind w:firstLine="547"/>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t xml:space="preserve">In dairy products, </w:t>
      </w:r>
      <w:r w:rsidRPr="00786DBE">
        <w:rPr>
          <w:rFonts w:asciiTheme="majorHAnsi" w:eastAsiaTheme="minorHAnsi" w:hAnsiTheme="majorHAnsi" w:cstheme="minorBidi"/>
          <w:i/>
          <w:sz w:val="22"/>
          <w:szCs w:val="22"/>
          <w:lang w:val="en-US"/>
        </w:rPr>
        <w:t>E. coli</w:t>
      </w:r>
      <w:r w:rsidRPr="00786DBE">
        <w:rPr>
          <w:rFonts w:asciiTheme="majorHAnsi" w:eastAsiaTheme="minorHAnsi" w:hAnsiTheme="majorHAnsi" w:cstheme="minorBidi"/>
          <w:sz w:val="22"/>
          <w:szCs w:val="22"/>
          <w:lang w:val="en-US"/>
        </w:rPr>
        <w:t xml:space="preserve"> isolates showed moderate resistance but did not carry </w:t>
      </w:r>
      <w:proofErr w:type="spellStart"/>
      <w:r w:rsidRPr="00786DBE">
        <w:rPr>
          <w:rFonts w:asciiTheme="majorHAnsi" w:eastAsiaTheme="minorHAnsi" w:hAnsiTheme="majorHAnsi" w:cstheme="minorBidi"/>
          <w:sz w:val="22"/>
          <w:szCs w:val="22"/>
          <w:lang w:val="en-US"/>
        </w:rPr>
        <w:t>shiga</w:t>
      </w:r>
      <w:proofErr w:type="spellEnd"/>
      <w:r w:rsidRPr="00786DBE">
        <w:rPr>
          <w:rFonts w:asciiTheme="majorHAnsi" w:eastAsiaTheme="minorHAnsi" w:hAnsiTheme="majorHAnsi" w:cstheme="minorBidi"/>
          <w:sz w:val="22"/>
          <w:szCs w:val="22"/>
          <w:lang w:val="en-US"/>
        </w:rPr>
        <w:t xml:space="preserve"> toxin genes (</w:t>
      </w:r>
      <w:r w:rsidRPr="00786DBE">
        <w:rPr>
          <w:rFonts w:asciiTheme="majorHAnsi" w:eastAsiaTheme="minorHAnsi" w:hAnsiTheme="majorHAnsi" w:cstheme="minorBidi"/>
          <w:i/>
          <w:sz w:val="22"/>
          <w:szCs w:val="22"/>
          <w:lang w:val="en-US"/>
        </w:rPr>
        <w:t>stx1</w:t>
      </w:r>
      <w:r w:rsidRPr="00786DBE">
        <w:rPr>
          <w:rFonts w:asciiTheme="majorHAnsi" w:eastAsiaTheme="minorHAnsi" w:hAnsiTheme="majorHAnsi" w:cstheme="minorBidi"/>
          <w:sz w:val="22"/>
          <w:szCs w:val="22"/>
          <w:lang w:val="en-US"/>
        </w:rPr>
        <w:t>/</w:t>
      </w:r>
      <w:r w:rsidRPr="00786DBE">
        <w:rPr>
          <w:rFonts w:asciiTheme="majorHAnsi" w:eastAsiaTheme="minorHAnsi" w:hAnsiTheme="majorHAnsi" w:cstheme="minorBidi"/>
          <w:i/>
          <w:sz w:val="22"/>
          <w:szCs w:val="22"/>
          <w:lang w:val="en-US"/>
        </w:rPr>
        <w:t>stx2</w:t>
      </w:r>
      <w:r w:rsidRPr="00786DBE">
        <w:rPr>
          <w:rFonts w:asciiTheme="majorHAnsi" w:eastAsiaTheme="minorHAnsi" w:hAnsiTheme="majorHAnsi" w:cstheme="minorBidi"/>
          <w:sz w:val="22"/>
          <w:szCs w:val="22"/>
          <w:lang w:val="en-US"/>
        </w:rPr>
        <w:t xml:space="preserve">), suggesting they were non-toxigenic. Still, resistance profiles similar to meat-borne isolates were present, with </w:t>
      </w:r>
      <w:proofErr w:type="spellStart"/>
      <w:r w:rsidRPr="00786DBE">
        <w:rPr>
          <w:rFonts w:asciiTheme="majorHAnsi" w:eastAsiaTheme="minorHAnsi" w:hAnsiTheme="majorHAnsi" w:cstheme="minorBidi"/>
          <w:i/>
          <w:sz w:val="22"/>
          <w:szCs w:val="22"/>
          <w:lang w:val="en-US"/>
        </w:rPr>
        <w:t>tetA</w:t>
      </w:r>
      <w:proofErr w:type="spellEnd"/>
      <w:r w:rsidRPr="00786DBE">
        <w:rPr>
          <w:rFonts w:asciiTheme="majorHAnsi" w:eastAsiaTheme="minorHAnsi" w:hAnsiTheme="majorHAnsi" w:cstheme="minorBidi"/>
          <w:sz w:val="22"/>
          <w:szCs w:val="22"/>
          <w:lang w:val="en-US"/>
        </w:rPr>
        <w:t xml:space="preserve"> and </w:t>
      </w:r>
      <w:proofErr w:type="spellStart"/>
      <w:r w:rsidRPr="00786DBE">
        <w:rPr>
          <w:rFonts w:asciiTheme="majorHAnsi" w:eastAsiaTheme="minorHAnsi" w:hAnsiTheme="majorHAnsi" w:cstheme="minorBidi"/>
          <w:i/>
          <w:sz w:val="22"/>
          <w:szCs w:val="22"/>
          <w:lang w:val="en-US"/>
        </w:rPr>
        <w:t>blaTEM</w:t>
      </w:r>
      <w:proofErr w:type="spellEnd"/>
      <w:r w:rsidRPr="00786DBE">
        <w:rPr>
          <w:rFonts w:asciiTheme="majorHAnsi" w:eastAsiaTheme="minorHAnsi" w:hAnsiTheme="majorHAnsi" w:cstheme="minorBidi"/>
          <w:sz w:val="22"/>
          <w:szCs w:val="22"/>
          <w:lang w:val="en-US"/>
        </w:rPr>
        <w:t xml:space="preserve"> being the most commonly found genes. The findings suggest the dairy sector has better control systems, but low-level resistance remains a concern.</w:t>
      </w:r>
    </w:p>
    <w:p w:rsidR="00786DBE" w:rsidRPr="00786DBE" w:rsidRDefault="00786DBE" w:rsidP="00786DBE">
      <w:pPr>
        <w:spacing w:line="360" w:lineRule="auto"/>
        <w:ind w:firstLine="547"/>
        <w:jc w:val="both"/>
        <w:rPr>
          <w:rFonts w:asciiTheme="majorHAnsi" w:eastAsiaTheme="minorHAnsi" w:hAnsiTheme="majorHAnsi" w:cstheme="minorBidi"/>
          <w:sz w:val="22"/>
          <w:szCs w:val="22"/>
          <w:lang w:val="en-US"/>
        </w:rPr>
      </w:pPr>
    </w:p>
    <w:p w:rsidR="00786DBE" w:rsidRPr="00786DBE" w:rsidRDefault="00786DBE" w:rsidP="00786DBE">
      <w:pPr>
        <w:spacing w:line="360" w:lineRule="auto"/>
        <w:ind w:firstLine="547"/>
        <w:jc w:val="both"/>
        <w:rPr>
          <w:rFonts w:asciiTheme="majorHAnsi" w:eastAsiaTheme="minorHAnsi" w:hAnsiTheme="majorHAnsi" w:cstheme="minorBidi"/>
          <w:i/>
          <w:sz w:val="22"/>
          <w:szCs w:val="22"/>
          <w:lang w:val="en-US"/>
        </w:rPr>
      </w:pPr>
      <w:r w:rsidRPr="00786DBE">
        <w:rPr>
          <w:rFonts w:asciiTheme="majorHAnsi" w:eastAsiaTheme="minorHAnsi" w:hAnsiTheme="majorHAnsi" w:cstheme="minorBidi"/>
          <w:i/>
          <w:sz w:val="22"/>
          <w:szCs w:val="22"/>
          <w:lang w:val="en-US"/>
        </w:rPr>
        <w:t>Chapter 5 – Overall Conclusions and Further Recommendations</w:t>
      </w:r>
    </w:p>
    <w:p w:rsidR="00786DBE" w:rsidRPr="00786DBE" w:rsidRDefault="00786DBE" w:rsidP="00786DBE">
      <w:pPr>
        <w:spacing w:line="360" w:lineRule="auto"/>
        <w:ind w:firstLine="547"/>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t>This chapter synthesizes the findings into a unified risk picture. The studies revealed that antimicrobial-resistant pathogens are present in all segments of the Romanian food chain—from primary production to processing and distribution.</w:t>
      </w:r>
    </w:p>
    <w:p w:rsidR="00786DBE" w:rsidRPr="00786DBE" w:rsidRDefault="00786DBE" w:rsidP="00786DBE">
      <w:pPr>
        <w:spacing w:line="360" w:lineRule="auto"/>
        <w:ind w:firstLine="547"/>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t>Key conclusions include:</w:t>
      </w:r>
    </w:p>
    <w:p w:rsidR="00786DBE" w:rsidRPr="00786DBE" w:rsidRDefault="00786DBE" w:rsidP="00786DBE">
      <w:pPr>
        <w:spacing w:line="360" w:lineRule="auto"/>
        <w:ind w:firstLine="547"/>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t xml:space="preserve">The prevalence of MDR </w:t>
      </w:r>
      <w:r w:rsidRPr="00786DBE">
        <w:rPr>
          <w:rFonts w:asciiTheme="majorHAnsi" w:eastAsiaTheme="minorHAnsi" w:hAnsiTheme="majorHAnsi" w:cstheme="minorBidi"/>
          <w:i/>
          <w:sz w:val="22"/>
          <w:szCs w:val="22"/>
          <w:lang w:val="en-US"/>
        </w:rPr>
        <w:t>Salmonella</w:t>
      </w:r>
      <w:r w:rsidRPr="00786DBE">
        <w:rPr>
          <w:rFonts w:asciiTheme="majorHAnsi" w:eastAsiaTheme="minorHAnsi" w:hAnsiTheme="majorHAnsi" w:cstheme="minorBidi"/>
          <w:sz w:val="22"/>
          <w:szCs w:val="22"/>
          <w:lang w:val="en-US"/>
        </w:rPr>
        <w:t>, especially in poultry and pork, is alarming.</w:t>
      </w:r>
    </w:p>
    <w:p w:rsidR="00786DBE" w:rsidRPr="00786DBE" w:rsidRDefault="00786DBE" w:rsidP="00786DBE">
      <w:pPr>
        <w:spacing w:line="360" w:lineRule="auto"/>
        <w:ind w:firstLine="547"/>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t>E. coli strains carrying virulence and resistance genes are more common than expected, including non-O157 serogroups like O101 and O26.</w:t>
      </w:r>
    </w:p>
    <w:p w:rsidR="00786DBE" w:rsidRPr="00786DBE" w:rsidRDefault="00786DBE" w:rsidP="00786DBE">
      <w:pPr>
        <w:spacing w:line="360" w:lineRule="auto"/>
        <w:ind w:firstLine="547"/>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t>Seasonal variation significantly affects contamination risks.</w:t>
      </w:r>
    </w:p>
    <w:p w:rsidR="00786DBE" w:rsidRPr="00786DBE" w:rsidRDefault="00786DBE" w:rsidP="00786DBE">
      <w:pPr>
        <w:spacing w:line="360" w:lineRule="auto"/>
        <w:ind w:firstLine="547"/>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t>Effective hygiene controls at slaughterhouses can drastically reduce pathogen prevalence, as seen in swine post-2013.</w:t>
      </w:r>
      <w:bookmarkStart w:id="1" w:name="_GoBack"/>
      <w:bookmarkEnd w:id="1"/>
    </w:p>
    <w:p w:rsidR="00786DBE" w:rsidRPr="00786DBE" w:rsidRDefault="00786DBE" w:rsidP="00786DBE">
      <w:pPr>
        <w:spacing w:line="360" w:lineRule="auto"/>
        <w:ind w:firstLine="547"/>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lastRenderedPageBreak/>
        <w:t>Resistance gene profiles suggest an urgent need to regulate and monitor antimicrobial usage in veterinary practice.</w:t>
      </w:r>
    </w:p>
    <w:p w:rsidR="00786DBE" w:rsidRPr="00786DBE" w:rsidRDefault="00786DBE" w:rsidP="00786DBE">
      <w:pPr>
        <w:spacing w:line="360" w:lineRule="auto"/>
        <w:ind w:firstLine="547"/>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t xml:space="preserve">Dr. </w:t>
      </w:r>
      <w:proofErr w:type="spellStart"/>
      <w:r w:rsidRPr="00786DBE">
        <w:rPr>
          <w:rFonts w:asciiTheme="majorHAnsi" w:eastAsiaTheme="minorHAnsi" w:hAnsiTheme="majorHAnsi" w:cstheme="minorBidi"/>
          <w:sz w:val="22"/>
          <w:szCs w:val="22"/>
          <w:lang w:val="en-US"/>
        </w:rPr>
        <w:t>Tăbăran</w:t>
      </w:r>
      <w:proofErr w:type="spellEnd"/>
      <w:r w:rsidRPr="00786DBE">
        <w:rPr>
          <w:rFonts w:asciiTheme="majorHAnsi" w:eastAsiaTheme="minorHAnsi" w:hAnsiTheme="majorHAnsi" w:cstheme="minorBidi"/>
          <w:sz w:val="22"/>
          <w:szCs w:val="22"/>
          <w:lang w:val="en-US"/>
        </w:rPr>
        <w:t xml:space="preserve"> calls for the implementation of a more comprehensive AMR surveillance program in Romania, aligned with EU standards. She emphasizes the importance of using molecular methods routinely in food inspection, enforcing cold-chain integrity, and applying a One Health approach in policy development.</w:t>
      </w:r>
    </w:p>
    <w:p w:rsidR="00786DBE" w:rsidRPr="00786DBE" w:rsidRDefault="00786DBE" w:rsidP="00786DBE">
      <w:pPr>
        <w:spacing w:line="360" w:lineRule="auto"/>
        <w:ind w:firstLine="547"/>
        <w:jc w:val="both"/>
        <w:rPr>
          <w:rFonts w:asciiTheme="majorHAnsi" w:eastAsiaTheme="minorHAnsi" w:hAnsiTheme="majorHAnsi" w:cstheme="minorBidi"/>
          <w:sz w:val="22"/>
          <w:szCs w:val="22"/>
          <w:lang w:val="en-US"/>
        </w:rPr>
      </w:pPr>
      <w:r w:rsidRPr="00786DBE">
        <w:rPr>
          <w:rFonts w:asciiTheme="majorHAnsi" w:eastAsiaTheme="minorHAnsi" w:hAnsiTheme="majorHAnsi" w:cstheme="minorBidi"/>
          <w:sz w:val="22"/>
          <w:szCs w:val="22"/>
          <w:lang w:val="en-US"/>
        </w:rPr>
        <w:t xml:space="preserve">Through detailed microbiological, molecular, and epidemiological research, this thesis makes a strong case for re-evaluating food safety strategies in Romania and similar Eastern European countries. Dr. </w:t>
      </w:r>
      <w:proofErr w:type="spellStart"/>
      <w:r w:rsidRPr="00786DBE">
        <w:rPr>
          <w:rFonts w:asciiTheme="majorHAnsi" w:eastAsiaTheme="minorHAnsi" w:hAnsiTheme="majorHAnsi" w:cstheme="minorBidi"/>
          <w:sz w:val="22"/>
          <w:szCs w:val="22"/>
          <w:lang w:val="en-US"/>
        </w:rPr>
        <w:t>Tăbăran's</w:t>
      </w:r>
      <w:proofErr w:type="spellEnd"/>
      <w:r w:rsidRPr="00786DBE">
        <w:rPr>
          <w:rFonts w:asciiTheme="majorHAnsi" w:eastAsiaTheme="minorHAnsi" w:hAnsiTheme="majorHAnsi" w:cstheme="minorBidi"/>
          <w:sz w:val="22"/>
          <w:szCs w:val="22"/>
          <w:lang w:val="en-US"/>
        </w:rPr>
        <w:t xml:space="preserve"> work builds a solid bridge between science and policy, providing actionable insights that can improve both public health and the integrity of the food supply chain.</w:t>
      </w:r>
    </w:p>
    <w:p w:rsidR="00786DBE" w:rsidRPr="00786DBE" w:rsidRDefault="00786DBE" w:rsidP="00786DBE">
      <w:pPr>
        <w:spacing w:line="360" w:lineRule="auto"/>
        <w:ind w:firstLine="547"/>
        <w:jc w:val="both"/>
        <w:rPr>
          <w:rFonts w:asciiTheme="majorHAnsi" w:eastAsiaTheme="minorHAnsi" w:hAnsiTheme="majorHAnsi" w:cstheme="minorBidi"/>
          <w:sz w:val="22"/>
          <w:szCs w:val="22"/>
          <w:lang w:val="en-US"/>
        </w:rPr>
      </w:pPr>
    </w:p>
    <w:p w:rsidR="00997440" w:rsidRPr="00786DBE" w:rsidRDefault="00997440">
      <w:pPr>
        <w:rPr>
          <w:lang w:val="en-US"/>
        </w:rPr>
      </w:pPr>
    </w:p>
    <w:sectPr w:rsidR="00997440" w:rsidRPr="00786DBE" w:rsidSect="00786DBE">
      <w:pgSz w:w="9979" w:h="14170" w:code="34"/>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BE"/>
    <w:rsid w:val="00182790"/>
    <w:rsid w:val="0052354F"/>
    <w:rsid w:val="005D0EDB"/>
    <w:rsid w:val="00617712"/>
    <w:rsid w:val="006B29C7"/>
    <w:rsid w:val="00786DBE"/>
    <w:rsid w:val="009829FC"/>
    <w:rsid w:val="00997440"/>
    <w:rsid w:val="00BC5214"/>
    <w:rsid w:val="00CB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EDB"/>
    <w:rPr>
      <w:sz w:val="24"/>
      <w:szCs w:val="24"/>
      <w:lang w:val="en-GB"/>
    </w:rPr>
  </w:style>
  <w:style w:type="paragraph" w:styleId="Heading1">
    <w:name w:val="heading 1"/>
    <w:basedOn w:val="Normal"/>
    <w:next w:val="Normal"/>
    <w:link w:val="Heading1Char"/>
    <w:uiPriority w:val="9"/>
    <w:qFormat/>
    <w:rsid w:val="005D0EDB"/>
    <w:pPr>
      <w:keepNext/>
      <w:keepLines/>
      <w:spacing w:before="480" w:line="276" w:lineRule="auto"/>
      <w:outlineLvl w:val="0"/>
    </w:pPr>
    <w:rPr>
      <w:rFonts w:ascii="Cambria" w:hAnsi="Cambria"/>
      <w:b/>
      <w:bCs/>
      <w:color w:val="365F91"/>
      <w:sz w:val="28"/>
      <w:szCs w:val="28"/>
      <w:lang w:val="en-US"/>
    </w:rPr>
  </w:style>
  <w:style w:type="paragraph" w:styleId="Heading2">
    <w:name w:val="heading 2"/>
    <w:basedOn w:val="Normal"/>
    <w:next w:val="Normal"/>
    <w:link w:val="Heading2Char"/>
    <w:uiPriority w:val="9"/>
    <w:semiHidden/>
    <w:unhideWhenUsed/>
    <w:qFormat/>
    <w:rsid w:val="005D0EDB"/>
    <w:pPr>
      <w:keepNext/>
      <w:keepLines/>
      <w:spacing w:before="200" w:line="276" w:lineRule="auto"/>
      <w:outlineLvl w:val="1"/>
    </w:pPr>
    <w:rPr>
      <w:rFonts w:ascii="Cambria" w:hAnsi="Cambria"/>
      <w:b/>
      <w:bCs/>
      <w:color w:val="4F81BD"/>
      <w:sz w:val="26"/>
      <w:szCs w:val="26"/>
      <w:lang w:val="en-US"/>
    </w:rPr>
  </w:style>
  <w:style w:type="paragraph" w:styleId="Heading3">
    <w:name w:val="heading 3"/>
    <w:basedOn w:val="Normal"/>
    <w:next w:val="Normal"/>
    <w:link w:val="Heading3Char"/>
    <w:uiPriority w:val="9"/>
    <w:semiHidden/>
    <w:unhideWhenUsed/>
    <w:qFormat/>
    <w:rsid w:val="005D0EDB"/>
    <w:pPr>
      <w:keepNext/>
      <w:keepLines/>
      <w:spacing w:before="200" w:line="276" w:lineRule="auto"/>
      <w:outlineLvl w:val="2"/>
    </w:pPr>
    <w:rPr>
      <w:rFonts w:ascii="Cambria" w:hAnsi="Cambria"/>
      <w:b/>
      <w:bCs/>
      <w:color w:val="4F81BD"/>
      <w:sz w:val="22"/>
      <w:szCs w:val="22"/>
      <w:lang w:val="en-US"/>
    </w:rPr>
  </w:style>
  <w:style w:type="paragraph" w:styleId="Heading4">
    <w:name w:val="heading 4"/>
    <w:basedOn w:val="Normal"/>
    <w:next w:val="Normal"/>
    <w:link w:val="Heading4Char"/>
    <w:semiHidden/>
    <w:unhideWhenUsed/>
    <w:qFormat/>
    <w:rsid w:val="005D0EDB"/>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5D0EDB"/>
    <w:pPr>
      <w:tabs>
        <w:tab w:val="left" w:pos="180"/>
      </w:tabs>
      <w:spacing w:line="276" w:lineRule="auto"/>
      <w:jc w:val="both"/>
      <w:outlineLvl w:val="4"/>
    </w:pPr>
    <w:rPr>
      <w:rFonts w:ascii="Cambria" w:hAnsi="Cambria"/>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ZA0">
    <w:name w:val="TEZA 0"/>
    <w:basedOn w:val="Normal"/>
    <w:qFormat/>
    <w:rsid w:val="005D0EDB"/>
    <w:pPr>
      <w:spacing w:line="480" w:lineRule="auto"/>
    </w:pPr>
    <w:rPr>
      <w:b/>
      <w:caps/>
      <w:sz w:val="28"/>
      <w:szCs w:val="22"/>
      <w:lang w:val="en-US"/>
    </w:rPr>
  </w:style>
  <w:style w:type="paragraph" w:customStyle="1" w:styleId="DecimalAligned">
    <w:name w:val="Decimal Aligned"/>
    <w:basedOn w:val="Normal"/>
    <w:uiPriority w:val="40"/>
    <w:qFormat/>
    <w:rsid w:val="005D0EDB"/>
    <w:pPr>
      <w:tabs>
        <w:tab w:val="decimal" w:pos="360"/>
      </w:tabs>
      <w:spacing w:after="200" w:line="276" w:lineRule="auto"/>
    </w:pPr>
    <w:rPr>
      <w:rFonts w:asciiTheme="minorHAnsi" w:eastAsiaTheme="minorEastAsia" w:hAnsiTheme="minorHAnsi" w:cstheme="minorBidi"/>
      <w:sz w:val="22"/>
      <w:szCs w:val="22"/>
      <w:lang w:val="en-US"/>
    </w:rPr>
  </w:style>
  <w:style w:type="character" w:customStyle="1" w:styleId="Heading1Char">
    <w:name w:val="Heading 1 Char"/>
    <w:link w:val="Heading1"/>
    <w:uiPriority w:val="9"/>
    <w:rsid w:val="005D0EDB"/>
    <w:rPr>
      <w:rFonts w:ascii="Cambria" w:hAnsi="Cambria"/>
      <w:b/>
      <w:bCs/>
      <w:color w:val="365F91"/>
      <w:sz w:val="28"/>
      <w:szCs w:val="28"/>
    </w:rPr>
  </w:style>
  <w:style w:type="character" w:customStyle="1" w:styleId="Heading2Char">
    <w:name w:val="Heading 2 Char"/>
    <w:link w:val="Heading2"/>
    <w:uiPriority w:val="9"/>
    <w:semiHidden/>
    <w:rsid w:val="005D0EDB"/>
    <w:rPr>
      <w:rFonts w:ascii="Cambria" w:hAnsi="Cambria"/>
      <w:b/>
      <w:bCs/>
      <w:color w:val="4F81BD"/>
      <w:sz w:val="26"/>
      <w:szCs w:val="26"/>
    </w:rPr>
  </w:style>
  <w:style w:type="character" w:customStyle="1" w:styleId="Heading3Char">
    <w:name w:val="Heading 3 Char"/>
    <w:link w:val="Heading3"/>
    <w:uiPriority w:val="9"/>
    <w:semiHidden/>
    <w:rsid w:val="005D0EDB"/>
    <w:rPr>
      <w:rFonts w:ascii="Cambria" w:hAnsi="Cambria"/>
      <w:b/>
      <w:bCs/>
      <w:color w:val="4F81BD"/>
      <w:sz w:val="22"/>
      <w:szCs w:val="22"/>
    </w:rPr>
  </w:style>
  <w:style w:type="character" w:customStyle="1" w:styleId="Heading4Char">
    <w:name w:val="Heading 4 Char"/>
    <w:link w:val="Heading4"/>
    <w:semiHidden/>
    <w:rsid w:val="005D0EDB"/>
    <w:rPr>
      <w:rFonts w:ascii="Calibri" w:hAnsi="Calibri"/>
      <w:b/>
      <w:bCs/>
      <w:sz w:val="28"/>
      <w:szCs w:val="28"/>
      <w:lang w:val="en-GB"/>
    </w:rPr>
  </w:style>
  <w:style w:type="character" w:customStyle="1" w:styleId="Heading5Char">
    <w:name w:val="Heading 5 Char"/>
    <w:link w:val="Heading5"/>
    <w:rsid w:val="005D0EDB"/>
    <w:rPr>
      <w:rFonts w:ascii="Cambria" w:hAnsi="Cambria"/>
      <w:b/>
    </w:rPr>
  </w:style>
  <w:style w:type="paragraph" w:styleId="Title">
    <w:name w:val="Title"/>
    <w:aliases w:val="H1"/>
    <w:basedOn w:val="Heading1"/>
    <w:next w:val="Normal"/>
    <w:link w:val="TitleChar"/>
    <w:uiPriority w:val="10"/>
    <w:qFormat/>
    <w:rsid w:val="005D0EDB"/>
    <w:pPr>
      <w:keepLines w:val="0"/>
      <w:widowControl w:val="0"/>
      <w:suppressAutoHyphens/>
      <w:autoSpaceDN w:val="0"/>
      <w:spacing w:before="240" w:after="300" w:line="240" w:lineRule="auto"/>
      <w:contextualSpacing/>
      <w:jc w:val="center"/>
      <w:textAlignment w:val="baseline"/>
    </w:pPr>
    <w:rPr>
      <w:rFonts w:ascii="Times New Roman" w:hAnsi="Times New Roman"/>
      <w:color w:val="000000"/>
      <w:spacing w:val="5"/>
      <w:kern w:val="28"/>
      <w:szCs w:val="52"/>
      <w:lang w:val="ro-RO" w:eastAsia="ro-RO"/>
    </w:rPr>
  </w:style>
  <w:style w:type="character" w:customStyle="1" w:styleId="TitleChar">
    <w:name w:val="Title Char"/>
    <w:aliases w:val="H1 Char"/>
    <w:link w:val="Title"/>
    <w:uiPriority w:val="10"/>
    <w:rsid w:val="005D0EDB"/>
    <w:rPr>
      <w:b/>
      <w:bCs/>
      <w:color w:val="000000"/>
      <w:spacing w:val="5"/>
      <w:kern w:val="28"/>
      <w:sz w:val="28"/>
      <w:szCs w:val="52"/>
      <w:lang w:val="ro-RO" w:eastAsia="ro-RO"/>
    </w:rPr>
  </w:style>
  <w:style w:type="character" w:styleId="Strong">
    <w:name w:val="Strong"/>
    <w:uiPriority w:val="22"/>
    <w:qFormat/>
    <w:rsid w:val="005D0EDB"/>
    <w:rPr>
      <w:rFonts w:cs="Times New Roman"/>
      <w:b/>
      <w:bCs/>
    </w:rPr>
  </w:style>
  <w:style w:type="character" w:styleId="Emphasis">
    <w:name w:val="Emphasis"/>
    <w:uiPriority w:val="20"/>
    <w:qFormat/>
    <w:rsid w:val="005D0EDB"/>
    <w:rPr>
      <w:rFonts w:cs="Times New Roman"/>
      <w:i/>
      <w:iCs/>
    </w:rPr>
  </w:style>
  <w:style w:type="paragraph" w:styleId="ListParagraph">
    <w:name w:val="List Paragraph"/>
    <w:basedOn w:val="Normal"/>
    <w:uiPriority w:val="34"/>
    <w:qFormat/>
    <w:rsid w:val="005D0EDB"/>
    <w:pPr>
      <w:spacing w:after="200" w:line="276" w:lineRule="auto"/>
      <w:ind w:left="720"/>
      <w:contextualSpacing/>
    </w:pPr>
    <w:rPr>
      <w:rFonts w:ascii="Calibri" w:hAnsi="Calibri"/>
      <w:sz w:val="22"/>
      <w:szCs w:val="22"/>
      <w:lang w:val="en-US"/>
    </w:rPr>
  </w:style>
  <w:style w:type="character" w:styleId="SubtleEmphasis">
    <w:name w:val="Subtle Emphasis"/>
    <w:basedOn w:val="DefaultParagraphFont"/>
    <w:uiPriority w:val="19"/>
    <w:qFormat/>
    <w:rsid w:val="005D0EDB"/>
    <w:rPr>
      <w:rFonts w:eastAsiaTheme="minorEastAsia" w:cstheme="minorBidi"/>
      <w:bCs w:val="0"/>
      <w:i/>
      <w:iCs/>
      <w:color w:val="808080" w:themeColor="text1" w:themeTint="7F"/>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EDB"/>
    <w:rPr>
      <w:sz w:val="24"/>
      <w:szCs w:val="24"/>
      <w:lang w:val="en-GB"/>
    </w:rPr>
  </w:style>
  <w:style w:type="paragraph" w:styleId="Heading1">
    <w:name w:val="heading 1"/>
    <w:basedOn w:val="Normal"/>
    <w:next w:val="Normal"/>
    <w:link w:val="Heading1Char"/>
    <w:uiPriority w:val="9"/>
    <w:qFormat/>
    <w:rsid w:val="005D0EDB"/>
    <w:pPr>
      <w:keepNext/>
      <w:keepLines/>
      <w:spacing w:before="480" w:line="276" w:lineRule="auto"/>
      <w:outlineLvl w:val="0"/>
    </w:pPr>
    <w:rPr>
      <w:rFonts w:ascii="Cambria" w:hAnsi="Cambria"/>
      <w:b/>
      <w:bCs/>
      <w:color w:val="365F91"/>
      <w:sz w:val="28"/>
      <w:szCs w:val="28"/>
      <w:lang w:val="en-US"/>
    </w:rPr>
  </w:style>
  <w:style w:type="paragraph" w:styleId="Heading2">
    <w:name w:val="heading 2"/>
    <w:basedOn w:val="Normal"/>
    <w:next w:val="Normal"/>
    <w:link w:val="Heading2Char"/>
    <w:uiPriority w:val="9"/>
    <w:semiHidden/>
    <w:unhideWhenUsed/>
    <w:qFormat/>
    <w:rsid w:val="005D0EDB"/>
    <w:pPr>
      <w:keepNext/>
      <w:keepLines/>
      <w:spacing w:before="200" w:line="276" w:lineRule="auto"/>
      <w:outlineLvl w:val="1"/>
    </w:pPr>
    <w:rPr>
      <w:rFonts w:ascii="Cambria" w:hAnsi="Cambria"/>
      <w:b/>
      <w:bCs/>
      <w:color w:val="4F81BD"/>
      <w:sz w:val="26"/>
      <w:szCs w:val="26"/>
      <w:lang w:val="en-US"/>
    </w:rPr>
  </w:style>
  <w:style w:type="paragraph" w:styleId="Heading3">
    <w:name w:val="heading 3"/>
    <w:basedOn w:val="Normal"/>
    <w:next w:val="Normal"/>
    <w:link w:val="Heading3Char"/>
    <w:uiPriority w:val="9"/>
    <w:semiHidden/>
    <w:unhideWhenUsed/>
    <w:qFormat/>
    <w:rsid w:val="005D0EDB"/>
    <w:pPr>
      <w:keepNext/>
      <w:keepLines/>
      <w:spacing w:before="200" w:line="276" w:lineRule="auto"/>
      <w:outlineLvl w:val="2"/>
    </w:pPr>
    <w:rPr>
      <w:rFonts w:ascii="Cambria" w:hAnsi="Cambria"/>
      <w:b/>
      <w:bCs/>
      <w:color w:val="4F81BD"/>
      <w:sz w:val="22"/>
      <w:szCs w:val="22"/>
      <w:lang w:val="en-US"/>
    </w:rPr>
  </w:style>
  <w:style w:type="paragraph" w:styleId="Heading4">
    <w:name w:val="heading 4"/>
    <w:basedOn w:val="Normal"/>
    <w:next w:val="Normal"/>
    <w:link w:val="Heading4Char"/>
    <w:semiHidden/>
    <w:unhideWhenUsed/>
    <w:qFormat/>
    <w:rsid w:val="005D0EDB"/>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5D0EDB"/>
    <w:pPr>
      <w:tabs>
        <w:tab w:val="left" w:pos="180"/>
      </w:tabs>
      <w:spacing w:line="276" w:lineRule="auto"/>
      <w:jc w:val="both"/>
      <w:outlineLvl w:val="4"/>
    </w:pPr>
    <w:rPr>
      <w:rFonts w:ascii="Cambria" w:hAnsi="Cambria"/>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ZA0">
    <w:name w:val="TEZA 0"/>
    <w:basedOn w:val="Normal"/>
    <w:qFormat/>
    <w:rsid w:val="005D0EDB"/>
    <w:pPr>
      <w:spacing w:line="480" w:lineRule="auto"/>
    </w:pPr>
    <w:rPr>
      <w:b/>
      <w:caps/>
      <w:sz w:val="28"/>
      <w:szCs w:val="22"/>
      <w:lang w:val="en-US"/>
    </w:rPr>
  </w:style>
  <w:style w:type="paragraph" w:customStyle="1" w:styleId="DecimalAligned">
    <w:name w:val="Decimal Aligned"/>
    <w:basedOn w:val="Normal"/>
    <w:uiPriority w:val="40"/>
    <w:qFormat/>
    <w:rsid w:val="005D0EDB"/>
    <w:pPr>
      <w:tabs>
        <w:tab w:val="decimal" w:pos="360"/>
      </w:tabs>
      <w:spacing w:after="200" w:line="276" w:lineRule="auto"/>
    </w:pPr>
    <w:rPr>
      <w:rFonts w:asciiTheme="minorHAnsi" w:eastAsiaTheme="minorEastAsia" w:hAnsiTheme="minorHAnsi" w:cstheme="minorBidi"/>
      <w:sz w:val="22"/>
      <w:szCs w:val="22"/>
      <w:lang w:val="en-US"/>
    </w:rPr>
  </w:style>
  <w:style w:type="character" w:customStyle="1" w:styleId="Heading1Char">
    <w:name w:val="Heading 1 Char"/>
    <w:link w:val="Heading1"/>
    <w:uiPriority w:val="9"/>
    <w:rsid w:val="005D0EDB"/>
    <w:rPr>
      <w:rFonts w:ascii="Cambria" w:hAnsi="Cambria"/>
      <w:b/>
      <w:bCs/>
      <w:color w:val="365F91"/>
      <w:sz w:val="28"/>
      <w:szCs w:val="28"/>
    </w:rPr>
  </w:style>
  <w:style w:type="character" w:customStyle="1" w:styleId="Heading2Char">
    <w:name w:val="Heading 2 Char"/>
    <w:link w:val="Heading2"/>
    <w:uiPriority w:val="9"/>
    <w:semiHidden/>
    <w:rsid w:val="005D0EDB"/>
    <w:rPr>
      <w:rFonts w:ascii="Cambria" w:hAnsi="Cambria"/>
      <w:b/>
      <w:bCs/>
      <w:color w:val="4F81BD"/>
      <w:sz w:val="26"/>
      <w:szCs w:val="26"/>
    </w:rPr>
  </w:style>
  <w:style w:type="character" w:customStyle="1" w:styleId="Heading3Char">
    <w:name w:val="Heading 3 Char"/>
    <w:link w:val="Heading3"/>
    <w:uiPriority w:val="9"/>
    <w:semiHidden/>
    <w:rsid w:val="005D0EDB"/>
    <w:rPr>
      <w:rFonts w:ascii="Cambria" w:hAnsi="Cambria"/>
      <w:b/>
      <w:bCs/>
      <w:color w:val="4F81BD"/>
      <w:sz w:val="22"/>
      <w:szCs w:val="22"/>
    </w:rPr>
  </w:style>
  <w:style w:type="character" w:customStyle="1" w:styleId="Heading4Char">
    <w:name w:val="Heading 4 Char"/>
    <w:link w:val="Heading4"/>
    <w:semiHidden/>
    <w:rsid w:val="005D0EDB"/>
    <w:rPr>
      <w:rFonts w:ascii="Calibri" w:hAnsi="Calibri"/>
      <w:b/>
      <w:bCs/>
      <w:sz w:val="28"/>
      <w:szCs w:val="28"/>
      <w:lang w:val="en-GB"/>
    </w:rPr>
  </w:style>
  <w:style w:type="character" w:customStyle="1" w:styleId="Heading5Char">
    <w:name w:val="Heading 5 Char"/>
    <w:link w:val="Heading5"/>
    <w:rsid w:val="005D0EDB"/>
    <w:rPr>
      <w:rFonts w:ascii="Cambria" w:hAnsi="Cambria"/>
      <w:b/>
    </w:rPr>
  </w:style>
  <w:style w:type="paragraph" w:styleId="Title">
    <w:name w:val="Title"/>
    <w:aliases w:val="H1"/>
    <w:basedOn w:val="Heading1"/>
    <w:next w:val="Normal"/>
    <w:link w:val="TitleChar"/>
    <w:uiPriority w:val="10"/>
    <w:qFormat/>
    <w:rsid w:val="005D0EDB"/>
    <w:pPr>
      <w:keepLines w:val="0"/>
      <w:widowControl w:val="0"/>
      <w:suppressAutoHyphens/>
      <w:autoSpaceDN w:val="0"/>
      <w:spacing w:before="240" w:after="300" w:line="240" w:lineRule="auto"/>
      <w:contextualSpacing/>
      <w:jc w:val="center"/>
      <w:textAlignment w:val="baseline"/>
    </w:pPr>
    <w:rPr>
      <w:rFonts w:ascii="Times New Roman" w:hAnsi="Times New Roman"/>
      <w:color w:val="000000"/>
      <w:spacing w:val="5"/>
      <w:kern w:val="28"/>
      <w:szCs w:val="52"/>
      <w:lang w:val="ro-RO" w:eastAsia="ro-RO"/>
    </w:rPr>
  </w:style>
  <w:style w:type="character" w:customStyle="1" w:styleId="TitleChar">
    <w:name w:val="Title Char"/>
    <w:aliases w:val="H1 Char"/>
    <w:link w:val="Title"/>
    <w:uiPriority w:val="10"/>
    <w:rsid w:val="005D0EDB"/>
    <w:rPr>
      <w:b/>
      <w:bCs/>
      <w:color w:val="000000"/>
      <w:spacing w:val="5"/>
      <w:kern w:val="28"/>
      <w:sz w:val="28"/>
      <w:szCs w:val="52"/>
      <w:lang w:val="ro-RO" w:eastAsia="ro-RO"/>
    </w:rPr>
  </w:style>
  <w:style w:type="character" w:styleId="Strong">
    <w:name w:val="Strong"/>
    <w:uiPriority w:val="22"/>
    <w:qFormat/>
    <w:rsid w:val="005D0EDB"/>
    <w:rPr>
      <w:rFonts w:cs="Times New Roman"/>
      <w:b/>
      <w:bCs/>
    </w:rPr>
  </w:style>
  <w:style w:type="character" w:styleId="Emphasis">
    <w:name w:val="Emphasis"/>
    <w:uiPriority w:val="20"/>
    <w:qFormat/>
    <w:rsid w:val="005D0EDB"/>
    <w:rPr>
      <w:rFonts w:cs="Times New Roman"/>
      <w:i/>
      <w:iCs/>
    </w:rPr>
  </w:style>
  <w:style w:type="paragraph" w:styleId="ListParagraph">
    <w:name w:val="List Paragraph"/>
    <w:basedOn w:val="Normal"/>
    <w:uiPriority w:val="34"/>
    <w:qFormat/>
    <w:rsid w:val="005D0EDB"/>
    <w:pPr>
      <w:spacing w:after="200" w:line="276" w:lineRule="auto"/>
      <w:ind w:left="720"/>
      <w:contextualSpacing/>
    </w:pPr>
    <w:rPr>
      <w:rFonts w:ascii="Calibri" w:hAnsi="Calibri"/>
      <w:sz w:val="22"/>
      <w:szCs w:val="22"/>
      <w:lang w:val="en-US"/>
    </w:rPr>
  </w:style>
  <w:style w:type="character" w:styleId="SubtleEmphasis">
    <w:name w:val="Subtle Emphasis"/>
    <w:basedOn w:val="DefaultParagraphFont"/>
    <w:uiPriority w:val="19"/>
    <w:qFormat/>
    <w:rsid w:val="005D0EDB"/>
    <w:rPr>
      <w:rFonts w:eastAsiaTheme="minorEastAsia" w:cstheme="minorBidi"/>
      <w:bCs w:val="0"/>
      <w:i/>
      <w:iCs/>
      <w:color w:val="808080" w:themeColor="text1" w:themeTint="7F"/>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2025-07-10T10:02:00Z</cp:lastPrinted>
  <dcterms:created xsi:type="dcterms:W3CDTF">2025-07-10T10:00:00Z</dcterms:created>
  <dcterms:modified xsi:type="dcterms:W3CDTF">2025-07-10T10:02:00Z</dcterms:modified>
</cp:coreProperties>
</file>